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2021年三水区新市民随迁子女积分入学材料清单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一、必备材料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三水区</w:t>
      </w:r>
      <w:r>
        <w:rPr>
          <w:rFonts w:hint="eastAsia" w:ascii="仿宋_GB2312" w:hAnsi="仿宋_GB2312" w:eastAsia="仿宋_GB2312" w:cs="仿宋_GB2312"/>
          <w:bCs/>
          <w:color w:val="000000"/>
          <w:sz w:val="32"/>
          <w:szCs w:val="32"/>
        </w:rPr>
        <w:t>新市民</w:t>
      </w:r>
      <w:r>
        <w:rPr>
          <w:rFonts w:hint="eastAsia" w:ascii="仿宋_GB2312" w:hAnsi="仿宋_GB2312" w:eastAsia="仿宋_GB2312" w:cs="仿宋_GB2312"/>
          <w:bCs/>
          <w:color w:val="000000"/>
          <w:sz w:val="32"/>
          <w:szCs w:val="32"/>
          <w:lang w:eastAsia="zh-CN"/>
        </w:rPr>
        <w:t>随迁子女</w:t>
      </w:r>
      <w:r>
        <w:rPr>
          <w:rFonts w:hint="eastAsia" w:ascii="仿宋_GB2312" w:hAnsi="仿宋_GB2312" w:eastAsia="仿宋_GB2312" w:cs="仿宋_GB2312"/>
          <w:bCs/>
          <w:color w:val="000000"/>
          <w:sz w:val="32"/>
          <w:szCs w:val="32"/>
        </w:rPr>
        <w:t>积分</w:t>
      </w:r>
      <w:r>
        <w:rPr>
          <w:rFonts w:hint="eastAsia" w:ascii="仿宋_GB2312" w:hAnsi="仿宋_GB2312" w:eastAsia="仿宋_GB2312" w:cs="仿宋_GB2312"/>
          <w:bCs/>
          <w:color w:val="000000"/>
          <w:sz w:val="32"/>
          <w:szCs w:val="32"/>
          <w:lang w:eastAsia="zh-CN"/>
        </w:rPr>
        <w:t>入学</w:t>
      </w:r>
      <w:r>
        <w:rPr>
          <w:rFonts w:hint="eastAsia" w:ascii="仿宋_GB2312" w:hAnsi="仿宋_GB2312" w:eastAsia="仿宋_GB2312" w:cs="仿宋_GB2312"/>
          <w:bCs/>
          <w:color w:val="000000"/>
          <w:sz w:val="32"/>
          <w:szCs w:val="32"/>
        </w:rPr>
        <w:t>申请表》</w:t>
      </w:r>
      <w:r>
        <w:rPr>
          <w:rFonts w:hint="eastAsia" w:ascii="仿宋_GB2312" w:hAnsi="仿宋_GB2312" w:eastAsia="仿宋_GB2312" w:cs="仿宋_GB2312"/>
          <w:bCs/>
          <w:color w:val="000000"/>
          <w:sz w:val="32"/>
          <w:szCs w:val="32"/>
          <w:lang w:eastAsia="zh-CN"/>
        </w:rPr>
        <w:t>（见通告附件</w:t>
      </w:r>
      <w:r>
        <w:rPr>
          <w:rFonts w:hint="eastAsia" w:ascii="仿宋_GB2312" w:hAnsi="仿宋_GB2312" w:eastAsia="仿宋_GB2312" w:cs="仿宋_GB2312"/>
          <w:bCs/>
          <w:color w:val="000000"/>
          <w:sz w:val="32"/>
          <w:szCs w:val="32"/>
          <w:lang w:val="en-US" w:eastAsia="zh-CN"/>
        </w:rPr>
        <w:t>2，可以提前下载打印填写，也可在办理现场领取填写</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，收原件</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w:t>
      </w: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Cs/>
          <w:color w:val="000000"/>
          <w:sz w:val="32"/>
          <w:szCs w:val="32"/>
        </w:rPr>
        <w:t>居民身份证</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验原件收复印件</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w:t>
      </w:r>
      <w:r>
        <w:rPr>
          <w:rFonts w:hint="eastAsia" w:ascii="仿宋_GB2312" w:hAnsi="仿宋_GB2312" w:eastAsia="仿宋_GB2312" w:cs="仿宋_GB2312"/>
          <w:b w:val="0"/>
          <w:bCs/>
          <w:color w:val="000000"/>
          <w:sz w:val="32"/>
          <w:szCs w:val="32"/>
          <w:lang w:val="en-US" w:eastAsia="zh-CN"/>
        </w:rPr>
        <w:t>3.</w:t>
      </w:r>
      <w:r>
        <w:rPr>
          <w:rFonts w:hint="eastAsia" w:ascii="仿宋_GB2312" w:hAnsi="仿宋_GB2312" w:eastAsia="仿宋_GB2312" w:cs="仿宋_GB2312"/>
          <w:bCs/>
          <w:color w:val="000000"/>
          <w:sz w:val="32"/>
          <w:szCs w:val="32"/>
        </w:rPr>
        <w:t xml:space="preserve">《广东省居住证》，验原件收复印件。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1"/>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auto"/>
          <w:sz w:val="32"/>
          <w:szCs w:val="32"/>
          <w:lang w:val="en-US" w:eastAsia="zh-CN"/>
        </w:rPr>
        <w:t>居民户口簿及结婚证、子女出生医学证明等亲属关系证明材料或监护关系证明材料</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000000"/>
          <w:sz w:val="32"/>
          <w:szCs w:val="32"/>
        </w:rPr>
        <w:t>验原件收复印件。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FF0000"/>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儿童年龄</w:t>
      </w:r>
      <w:r>
        <w:rPr>
          <w:rFonts w:hint="eastAsia" w:ascii="仿宋_GB2312" w:hAnsi="仿宋_GB2312" w:eastAsia="仿宋_GB2312" w:cs="仿宋_GB2312"/>
          <w:color w:val="auto"/>
          <w:sz w:val="32"/>
          <w:szCs w:val="32"/>
        </w:rPr>
        <w:t>超过7周岁</w:t>
      </w:r>
      <w:r>
        <w:rPr>
          <w:rFonts w:hint="eastAsia" w:ascii="仿宋_GB2312" w:hAnsi="仿宋_GB2312" w:eastAsia="仿宋_GB2312" w:cs="仿宋_GB2312"/>
          <w:color w:val="auto"/>
          <w:sz w:val="32"/>
          <w:szCs w:val="32"/>
          <w:lang w:val="en-US" w:eastAsia="zh-CN"/>
        </w:rPr>
        <w:t>(即</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年9月1</w:t>
      </w:r>
      <w:r>
        <w:rPr>
          <w:rFonts w:hint="eastAsia" w:ascii="仿宋_GB2312" w:hAnsi="仿宋_GB2312" w:eastAsia="仿宋_GB2312" w:cs="仿宋_GB2312"/>
          <w:color w:val="auto"/>
          <w:sz w:val="32"/>
          <w:szCs w:val="32"/>
          <w:lang w:eastAsia="zh-CN"/>
        </w:rPr>
        <w:t>前出生的</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报名时需提供《广东省义务教育阶段儿童延缓入学证明》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eastAsia="zh-CN"/>
        </w:rPr>
        <w:t>或者儿童所在</w:t>
      </w:r>
      <w:r>
        <w:rPr>
          <w:rFonts w:hint="eastAsia" w:ascii="仿宋_GB2312" w:hAnsi="仿宋_GB2312" w:eastAsia="仿宋_GB2312" w:cs="仿宋_GB2312"/>
          <w:color w:val="auto"/>
          <w:kern w:val="0"/>
          <w:sz w:val="32"/>
          <w:szCs w:val="32"/>
        </w:rPr>
        <w:t>户籍地区（县）级教育行政部门关于本地区实行七周岁入学的相关说明材料</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加分材料及计分标准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_GB2312" w:eastAsia="仿宋_GB2312"/>
          <w:sz w:val="24"/>
          <w:szCs w:val="24"/>
          <w:lang w:eastAsia="zh-CN"/>
        </w:rPr>
      </w:pPr>
      <w:r>
        <w:rPr>
          <w:rFonts w:hint="eastAsia" w:ascii="仿宋_GB2312" w:eastAsia="仿宋_GB2312"/>
          <w:sz w:val="24"/>
          <w:szCs w:val="24"/>
          <w:lang w:val="en-US" w:eastAsia="zh-CN"/>
        </w:rPr>
        <w:t>（</w:t>
      </w:r>
      <w:r>
        <w:rPr>
          <w:rFonts w:hint="eastAsia" w:ascii="仿宋_GB2312" w:eastAsia="仿宋_GB2312"/>
          <w:sz w:val="24"/>
          <w:szCs w:val="24"/>
        </w:rPr>
        <w:t>入学总积分＝基础分＋加分＋</w:t>
      </w:r>
      <w:r>
        <w:rPr>
          <w:rFonts w:hint="eastAsia" w:ascii="仿宋_GB2312" w:eastAsia="仿宋_GB2312"/>
          <w:sz w:val="24"/>
          <w:szCs w:val="24"/>
          <w:lang w:eastAsia="zh-CN"/>
        </w:rPr>
        <w:t>镇（街道）</w:t>
      </w:r>
      <w:r>
        <w:rPr>
          <w:rFonts w:hint="eastAsia" w:ascii="仿宋_GB2312" w:eastAsia="仿宋_GB2312"/>
          <w:sz w:val="24"/>
          <w:szCs w:val="24"/>
        </w:rPr>
        <w:t>自定指标分</w:t>
      </w:r>
      <w:r>
        <w:rPr>
          <w:rFonts w:hint="eastAsia" w:ascii="仿宋_GB2312" w:eastAsia="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_GB2312" w:eastAsia="仿宋_GB2312"/>
          <w:sz w:val="24"/>
          <w:szCs w:val="24"/>
          <w:lang w:val="en-US" w:eastAsia="zh-CN"/>
        </w:rPr>
      </w:pPr>
    </w:p>
    <w:tbl>
      <w:tblPr>
        <w:tblStyle w:val="5"/>
        <w:tblW w:w="13395" w:type="dxa"/>
        <w:jc w:val="center"/>
        <w:tblInd w:w="-2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6"/>
        <w:gridCol w:w="781"/>
        <w:gridCol w:w="391"/>
        <w:gridCol w:w="574"/>
        <w:gridCol w:w="1118"/>
        <w:gridCol w:w="1352"/>
        <w:gridCol w:w="186"/>
        <w:gridCol w:w="1825"/>
        <w:gridCol w:w="1"/>
        <w:gridCol w:w="536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3395" w:type="dxa"/>
            <w:gridSpan w:val="12"/>
            <w:vAlign w:val="center"/>
          </w:tcPr>
          <w:p>
            <w:pPr>
              <w:widowControl/>
              <w:spacing w:line="300" w:lineRule="exact"/>
              <w:jc w:val="both"/>
              <w:rPr>
                <w:rFonts w:hint="eastAsia" w:ascii="黑体" w:hAnsi="黑体" w:eastAsia="黑体" w:cs="宋体"/>
                <w:color w:val="000000"/>
                <w:kern w:val="0"/>
                <w:sz w:val="21"/>
                <w:szCs w:val="21"/>
                <w:lang w:eastAsia="zh-CN"/>
              </w:rPr>
            </w:pPr>
            <w:r>
              <w:rPr>
                <w:rFonts w:hint="eastAsia" w:ascii="黑体" w:hAnsi="黑体" w:eastAsia="黑体" w:cs="宋体"/>
                <w:color w:val="000000"/>
                <w:kern w:val="0"/>
                <w:sz w:val="21"/>
                <w:szCs w:val="21"/>
                <w:lang w:eastAsia="zh-CN"/>
              </w:rPr>
              <w:t>一、基础指标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87" w:type="dxa"/>
            <w:vAlign w:val="center"/>
          </w:tcPr>
          <w:p>
            <w:pPr>
              <w:widowControl/>
              <w:spacing w:line="300" w:lineRule="exact"/>
              <w:jc w:val="center"/>
              <w:rPr>
                <w:rFonts w:hint="eastAsia" w:ascii="黑体" w:hAnsi="黑体" w:eastAsia="黑体" w:cs="宋体"/>
                <w:color w:val="000000"/>
                <w:kern w:val="0"/>
                <w:sz w:val="21"/>
                <w:szCs w:val="21"/>
                <w:lang w:eastAsia="zh-CN"/>
              </w:rPr>
            </w:pPr>
            <w:r>
              <w:rPr>
                <w:rFonts w:hint="eastAsia" w:ascii="黑体" w:hAnsi="黑体" w:eastAsia="黑体" w:cs="宋体"/>
                <w:color w:val="000000"/>
                <w:kern w:val="0"/>
                <w:sz w:val="21"/>
                <w:szCs w:val="21"/>
                <w:lang w:eastAsia="zh-CN"/>
              </w:rPr>
              <w:t>积分项目</w:t>
            </w:r>
          </w:p>
        </w:tc>
        <w:tc>
          <w:tcPr>
            <w:tcW w:w="6233" w:type="dxa"/>
            <w:gridSpan w:val="8"/>
            <w:vAlign w:val="center"/>
          </w:tcPr>
          <w:p>
            <w:pPr>
              <w:widowControl/>
              <w:spacing w:line="300" w:lineRule="exact"/>
              <w:jc w:val="center"/>
              <w:rPr>
                <w:rFonts w:hint="eastAsia" w:ascii="黑体" w:hAnsi="黑体" w:eastAsia="黑体" w:cs="宋体"/>
                <w:color w:val="000000"/>
                <w:kern w:val="0"/>
                <w:sz w:val="21"/>
                <w:szCs w:val="21"/>
                <w:lang w:eastAsia="zh-CN"/>
              </w:rPr>
            </w:pPr>
            <w:r>
              <w:rPr>
                <w:rFonts w:hint="eastAsia" w:ascii="黑体" w:hAnsi="黑体" w:eastAsia="黑体" w:cs="宋体"/>
                <w:color w:val="000000"/>
                <w:kern w:val="0"/>
                <w:sz w:val="21"/>
                <w:szCs w:val="21"/>
                <w:lang w:eastAsia="zh-CN"/>
              </w:rPr>
              <w:t>积分标准</w:t>
            </w:r>
          </w:p>
        </w:tc>
        <w:tc>
          <w:tcPr>
            <w:tcW w:w="5375" w:type="dxa"/>
            <w:gridSpan w:val="3"/>
            <w:vAlign w:val="center"/>
          </w:tcPr>
          <w:p>
            <w:pPr>
              <w:widowControl/>
              <w:spacing w:line="300" w:lineRule="exact"/>
              <w:jc w:val="center"/>
              <w:rPr>
                <w:rFonts w:hint="eastAsia" w:ascii="黑体" w:hAnsi="黑体" w:eastAsia="黑体" w:cs="宋体"/>
                <w:color w:val="000000"/>
                <w:kern w:val="0"/>
                <w:sz w:val="21"/>
                <w:szCs w:val="21"/>
                <w:lang w:eastAsia="zh-CN"/>
              </w:rPr>
            </w:pPr>
            <w:r>
              <w:rPr>
                <w:rFonts w:hint="eastAsia" w:ascii="黑体" w:hAnsi="黑体" w:eastAsia="黑体" w:cs="宋体"/>
                <w:color w:val="000000"/>
                <w:kern w:val="0"/>
                <w:sz w:val="21"/>
                <w:szCs w:val="21"/>
                <w:lang w:eastAsia="zh-CN"/>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787" w:type="dxa"/>
            <w:vMerge w:val="restart"/>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合法稳定住所积分</w:t>
            </w:r>
          </w:p>
        </w:tc>
        <w:tc>
          <w:tcPr>
            <w:tcW w:w="1752" w:type="dxa"/>
            <w:gridSpan w:val="4"/>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居住证得分</w:t>
            </w:r>
          </w:p>
        </w:tc>
        <w:tc>
          <w:tcPr>
            <w:tcW w:w="4481" w:type="dxa"/>
            <w:gridSpan w:val="4"/>
            <w:vAlign w:val="center"/>
          </w:tcPr>
          <w:p>
            <w:pPr>
              <w:widowControl/>
              <w:spacing w:line="360" w:lineRule="exact"/>
              <w:jc w:val="left"/>
              <w:rPr>
                <w:rFonts w:hint="eastAsia" w:hAnsi="宋体" w:cs="宋体"/>
                <w:color w:val="000000"/>
                <w:kern w:val="0"/>
                <w:sz w:val="21"/>
                <w:szCs w:val="21"/>
              </w:rPr>
            </w:pPr>
            <w:r>
              <w:rPr>
                <w:rFonts w:hint="eastAsia" w:hAnsi="宋体" w:cs="宋体"/>
                <w:color w:val="000000"/>
                <w:kern w:val="0"/>
                <w:sz w:val="21"/>
                <w:szCs w:val="21"/>
              </w:rPr>
              <w:t>居住时限每满1年积10分,最高可计120分。</w:t>
            </w:r>
          </w:p>
          <w:p>
            <w:pPr>
              <w:widowControl/>
              <w:spacing w:line="360" w:lineRule="exact"/>
              <w:jc w:val="left"/>
              <w:rPr>
                <w:rFonts w:hint="eastAsia" w:ascii="黑体" w:hAnsi="黑体" w:eastAsia="黑体" w:cs="宋体"/>
                <w:color w:val="000000"/>
                <w:kern w:val="0"/>
                <w:sz w:val="21"/>
                <w:szCs w:val="21"/>
              </w:rPr>
            </w:pPr>
            <w:r>
              <w:rPr>
                <w:rFonts w:hint="eastAsia" w:hAnsi="宋体" w:cs="宋体"/>
                <w:color w:val="000000"/>
                <w:kern w:val="0"/>
                <w:sz w:val="21"/>
                <w:szCs w:val="21"/>
              </w:rPr>
              <w:t>居住证（暂住证）未按要求续期的断开时间不计算，其余有效居住证（暂住证）时间可连续计算，断开之前之后累计的时间满1年都可以加分。</w:t>
            </w:r>
          </w:p>
        </w:tc>
        <w:tc>
          <w:tcPr>
            <w:tcW w:w="5375" w:type="dxa"/>
            <w:gridSpan w:val="3"/>
            <w:vAlign w:val="center"/>
          </w:tcPr>
          <w:p>
            <w:pPr>
              <w:widowControl/>
              <w:spacing w:line="30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应提供在本市办理且在有效期内的《广东省居住证》原件及复印件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1787" w:type="dxa"/>
            <w:vMerge w:val="continue"/>
            <w:vAlign w:val="center"/>
          </w:tcPr>
          <w:p>
            <w:pPr>
              <w:widowControl/>
              <w:spacing w:line="300" w:lineRule="exact"/>
              <w:jc w:val="center"/>
              <w:rPr>
                <w:rFonts w:hint="eastAsia" w:ascii="宋体" w:hAnsi="宋体" w:eastAsia="宋体" w:cs="宋体"/>
                <w:color w:val="000000"/>
                <w:kern w:val="0"/>
                <w:sz w:val="21"/>
                <w:szCs w:val="21"/>
              </w:rPr>
            </w:pPr>
          </w:p>
        </w:tc>
        <w:tc>
          <w:tcPr>
            <w:tcW w:w="787" w:type="dxa"/>
            <w:gridSpan w:val="2"/>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房产情况得分</w:t>
            </w:r>
          </w:p>
        </w:tc>
        <w:tc>
          <w:tcPr>
            <w:tcW w:w="965" w:type="dxa"/>
            <w:gridSpan w:val="2"/>
            <w:vMerge w:val="restart"/>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在我市内先租住房屋再购置合法房产（含住宅和非住宅），两项分值不可累加计算。</w:t>
            </w:r>
          </w:p>
        </w:tc>
        <w:tc>
          <w:tcPr>
            <w:tcW w:w="4481" w:type="dxa"/>
            <w:gridSpan w:val="4"/>
            <w:vAlign w:val="center"/>
          </w:tcPr>
          <w:p>
            <w:pPr>
              <w:widowControl/>
              <w:spacing w:line="300" w:lineRule="exact"/>
              <w:jc w:val="left"/>
              <w:rPr>
                <w:rFonts w:hint="eastAsia" w:ascii="黑体" w:hAnsi="黑体" w:eastAsia="黑体" w:cs="宋体"/>
                <w:color w:val="000000"/>
                <w:kern w:val="0"/>
                <w:sz w:val="21"/>
                <w:szCs w:val="21"/>
              </w:rPr>
            </w:pPr>
            <w:r>
              <w:rPr>
                <w:rFonts w:hint="eastAsia" w:hAnsi="宋体" w:cs="宋体"/>
                <w:color w:val="000000"/>
                <w:kern w:val="0"/>
                <w:sz w:val="21"/>
                <w:szCs w:val="21"/>
              </w:rPr>
              <w:t>本人、配偶或本人直系亲属（父母、子女）在佛山市拥有合法房产（含住宅和非住宅），按房产建筑面积每平方米积1分计分，拥有多个房产证明的，按各产权面积相加的总面积计算积分，最高可计144分。</w:t>
            </w:r>
          </w:p>
        </w:tc>
        <w:tc>
          <w:tcPr>
            <w:tcW w:w="5375" w:type="dxa"/>
            <w:gridSpan w:val="3"/>
            <w:vAlign w:val="center"/>
          </w:tcPr>
          <w:p>
            <w:pPr>
              <w:widowControl/>
              <w:spacing w:line="30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auto"/>
                <w:sz w:val="21"/>
                <w:szCs w:val="21"/>
                <w:lang w:val="en-US" w:eastAsia="zh-CN"/>
              </w:rPr>
              <w:t>房屋所有权证、</w:t>
            </w:r>
            <w:r>
              <w:rPr>
                <w:rFonts w:hint="eastAsia" w:ascii="宋体" w:hAnsi="宋体" w:eastAsia="宋体" w:cs="宋体"/>
                <w:color w:val="auto"/>
                <w:sz w:val="21"/>
                <w:szCs w:val="21"/>
              </w:rPr>
              <w:t>房</w:t>
            </w:r>
            <w:r>
              <w:rPr>
                <w:rFonts w:hint="eastAsia" w:ascii="宋体" w:hAnsi="宋体" w:eastAsia="宋体" w:cs="宋体"/>
                <w:color w:val="auto"/>
                <w:sz w:val="21"/>
                <w:szCs w:val="21"/>
                <w:lang w:val="en-US" w:eastAsia="zh-CN"/>
              </w:rPr>
              <w:t>地</w:t>
            </w:r>
            <w:r>
              <w:rPr>
                <w:rFonts w:hint="eastAsia" w:ascii="宋体" w:hAnsi="宋体" w:eastAsia="宋体" w:cs="宋体"/>
                <w:color w:val="auto"/>
                <w:sz w:val="21"/>
                <w:szCs w:val="21"/>
              </w:rPr>
              <w:t>产</w:t>
            </w:r>
            <w:r>
              <w:rPr>
                <w:rFonts w:hint="eastAsia" w:ascii="宋体" w:hAnsi="宋体" w:eastAsia="宋体" w:cs="宋体"/>
                <w:color w:val="auto"/>
                <w:sz w:val="21"/>
                <w:szCs w:val="21"/>
                <w:lang w:val="en-US" w:eastAsia="zh-CN"/>
              </w:rPr>
              <w:t>权</w:t>
            </w:r>
            <w:r>
              <w:rPr>
                <w:rFonts w:hint="eastAsia" w:ascii="宋体" w:hAnsi="宋体" w:eastAsia="宋体" w:cs="宋体"/>
                <w:color w:val="auto"/>
                <w:sz w:val="21"/>
                <w:szCs w:val="21"/>
              </w:rPr>
              <w:t>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不动产权属证书</w:t>
            </w:r>
            <w:r>
              <w:rPr>
                <w:rFonts w:hint="eastAsia" w:ascii="宋体" w:hAnsi="宋体" w:eastAsia="宋体" w:cs="宋体"/>
                <w:color w:val="auto"/>
                <w:sz w:val="21"/>
                <w:szCs w:val="21"/>
              </w:rPr>
              <w:t>原件及复印件，或已在</w:t>
            </w:r>
            <w:r>
              <w:rPr>
                <w:rFonts w:hint="eastAsia" w:ascii="宋体" w:hAnsi="宋体" w:eastAsia="宋体" w:cs="宋体"/>
                <w:color w:val="auto"/>
                <w:sz w:val="21"/>
                <w:szCs w:val="21"/>
                <w:lang w:val="en-US" w:eastAsia="zh-CN"/>
              </w:rPr>
              <w:t>房管</w:t>
            </w:r>
            <w:r>
              <w:rPr>
                <w:rFonts w:hint="eastAsia" w:ascii="宋体" w:hAnsi="宋体" w:eastAsia="宋体" w:cs="宋体"/>
                <w:color w:val="auto"/>
                <w:sz w:val="21"/>
                <w:szCs w:val="21"/>
              </w:rPr>
              <w:t>部门登记备案的购房合同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2020年1月1日后，购房合同登记备案证明材料请申请人联系开发商登陆《佛山市房地产市场信息系统》打印《佛山市三水区商品房买卖合同登记备案证明》作为依据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缴纳契税的完税证明</w:t>
            </w:r>
            <w:r>
              <w:rPr>
                <w:rFonts w:hint="eastAsia" w:ascii="宋体" w:hAnsi="宋体" w:eastAsia="宋体" w:cs="宋体"/>
                <w:color w:val="auto"/>
                <w:sz w:val="21"/>
                <w:szCs w:val="21"/>
              </w:rPr>
              <w:t>原件及复印件</w:t>
            </w:r>
            <w:r>
              <w:rPr>
                <w:rFonts w:hint="eastAsia" w:ascii="宋体" w:hAnsi="宋体" w:eastAsia="宋体" w:cs="宋体"/>
                <w:color w:val="auto"/>
                <w:sz w:val="21"/>
                <w:szCs w:val="21"/>
                <w:lang w:eastAsia="zh-CN"/>
              </w:rPr>
              <w:t>（如非本人房产，还需提供关系证明材料）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787" w:type="dxa"/>
            <w:vMerge w:val="continue"/>
            <w:vAlign w:val="center"/>
          </w:tcPr>
          <w:p>
            <w:pPr>
              <w:widowControl/>
              <w:spacing w:line="300" w:lineRule="exact"/>
              <w:jc w:val="center"/>
              <w:rPr>
                <w:rFonts w:hint="eastAsia" w:ascii="黑体" w:hAnsi="黑体" w:eastAsia="黑体" w:cs="宋体"/>
                <w:color w:val="000000"/>
                <w:kern w:val="0"/>
                <w:sz w:val="21"/>
                <w:szCs w:val="21"/>
              </w:rPr>
            </w:pPr>
          </w:p>
        </w:tc>
        <w:tc>
          <w:tcPr>
            <w:tcW w:w="787" w:type="dxa"/>
            <w:gridSpan w:val="2"/>
            <w:vAlign w:val="center"/>
          </w:tcPr>
          <w:p>
            <w:pPr>
              <w:widowControl/>
              <w:spacing w:line="300" w:lineRule="exact"/>
              <w:jc w:val="center"/>
              <w:rPr>
                <w:rFonts w:hint="eastAsia" w:ascii="黑体" w:hAnsi="黑体" w:eastAsia="黑体" w:cs="宋体"/>
                <w:color w:val="000000"/>
                <w:kern w:val="0"/>
                <w:sz w:val="21"/>
                <w:szCs w:val="21"/>
              </w:rPr>
            </w:pPr>
            <w:r>
              <w:rPr>
                <w:rFonts w:hint="eastAsia" w:ascii="宋体" w:hAnsi="宋体" w:eastAsia="宋体" w:cs="宋体"/>
                <w:color w:val="000000"/>
                <w:kern w:val="0"/>
                <w:sz w:val="21"/>
                <w:szCs w:val="21"/>
              </w:rPr>
              <w:t>租住房屋得分</w:t>
            </w:r>
          </w:p>
        </w:tc>
        <w:tc>
          <w:tcPr>
            <w:tcW w:w="965" w:type="dxa"/>
            <w:gridSpan w:val="2"/>
            <w:vMerge w:val="continue"/>
            <w:vAlign w:val="center"/>
          </w:tcPr>
          <w:p>
            <w:pPr>
              <w:widowControl/>
              <w:spacing w:line="300" w:lineRule="exact"/>
              <w:jc w:val="center"/>
              <w:rPr>
                <w:rFonts w:hint="eastAsia" w:ascii="黑体" w:hAnsi="黑体" w:eastAsia="黑体" w:cs="宋体"/>
                <w:color w:val="000000"/>
                <w:kern w:val="0"/>
                <w:sz w:val="21"/>
                <w:szCs w:val="21"/>
              </w:rPr>
            </w:pPr>
          </w:p>
        </w:tc>
        <w:tc>
          <w:tcPr>
            <w:tcW w:w="4481" w:type="dxa"/>
            <w:gridSpan w:val="4"/>
            <w:vAlign w:val="center"/>
          </w:tcPr>
          <w:p>
            <w:pPr>
              <w:widowControl/>
              <w:spacing w:line="300" w:lineRule="exact"/>
              <w:jc w:val="left"/>
              <w:rPr>
                <w:rFonts w:hint="eastAsia" w:ascii="黑体" w:hAnsi="黑体" w:eastAsia="黑体" w:cs="宋体"/>
                <w:color w:val="000000"/>
                <w:kern w:val="0"/>
                <w:sz w:val="21"/>
                <w:szCs w:val="21"/>
              </w:rPr>
            </w:pPr>
            <w:r>
              <w:rPr>
                <w:rFonts w:hint="eastAsia" w:hAnsi="宋体" w:cs="宋体"/>
                <w:color w:val="000000"/>
                <w:kern w:val="0"/>
                <w:sz w:val="21"/>
                <w:szCs w:val="21"/>
              </w:rPr>
              <w:t>申请人租住在我市出租屋（已在我市流动人口综合信息系统或佛山房屋租赁交易监管服务平台登记备案，不包含自住和借住亲友房屋的），每满1年计5分，最高可计30分。出租屋登记备案断开时间不计算，其余有效登记备案时间可连续计算，断开之前之后累计的时间满1年都可以加分。</w:t>
            </w:r>
          </w:p>
        </w:tc>
        <w:tc>
          <w:tcPr>
            <w:tcW w:w="5375" w:type="dxa"/>
            <w:gridSpan w:val="3"/>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auto"/>
                <w:sz w:val="21"/>
                <w:szCs w:val="21"/>
                <w:vertAlign w:val="baseline"/>
                <w:lang w:val="en-US" w:eastAsia="zh-CN"/>
              </w:rPr>
              <w:t>申请人现场签署的《租住情况积分申办承诺书》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787" w:type="dxa"/>
            <w:vAlign w:val="center"/>
          </w:tcPr>
          <w:p>
            <w:pPr>
              <w:widowControl/>
              <w:spacing w:line="360" w:lineRule="exact"/>
              <w:jc w:val="center"/>
              <w:rPr>
                <w:rFonts w:hint="eastAsia" w:hAnsi="宋体" w:cs="宋体"/>
                <w:color w:val="000000"/>
                <w:kern w:val="0"/>
                <w:sz w:val="21"/>
                <w:szCs w:val="21"/>
              </w:rPr>
            </w:pPr>
            <w:r>
              <w:rPr>
                <w:rFonts w:hint="eastAsia" w:hAnsi="宋体" w:cs="宋体"/>
                <w:color w:val="000000"/>
                <w:kern w:val="0"/>
                <w:sz w:val="21"/>
                <w:szCs w:val="21"/>
              </w:rPr>
              <w:t>合法稳定就业积分</w:t>
            </w:r>
          </w:p>
        </w:tc>
        <w:tc>
          <w:tcPr>
            <w:tcW w:w="6233" w:type="dxa"/>
            <w:gridSpan w:val="8"/>
            <w:vAlign w:val="center"/>
          </w:tcPr>
          <w:p>
            <w:pPr>
              <w:spacing w:line="300" w:lineRule="exact"/>
              <w:rPr>
                <w:rFonts w:hint="eastAsia"/>
                <w:sz w:val="21"/>
                <w:szCs w:val="21"/>
              </w:rPr>
            </w:pPr>
            <w:r>
              <w:rPr>
                <w:rFonts w:hint="eastAsia" w:hAnsi="宋体" w:cs="宋体"/>
                <w:color w:val="000000"/>
                <w:kern w:val="0"/>
                <w:sz w:val="21"/>
                <w:szCs w:val="21"/>
              </w:rPr>
              <w:t>在广东省内参加社会保险的，每满1年积5分，最高分值50分；在我市内参加社会保险的，每满1年再积10分，额外积分最高可计100分，合计最高分值150分。</w:t>
            </w:r>
          </w:p>
        </w:tc>
        <w:tc>
          <w:tcPr>
            <w:tcW w:w="5375" w:type="dxa"/>
            <w:gridSpan w:val="3"/>
            <w:vAlign w:val="center"/>
          </w:tcPr>
          <w:p>
            <w:pPr>
              <w:widowControl/>
              <w:spacing w:line="360" w:lineRule="exac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在本市参加社保的，应提供参保凭证，在广东省内其他地市参加社保的，应提供异地参保凭证。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3395" w:type="dxa"/>
            <w:gridSpan w:val="12"/>
            <w:vAlign w:val="center"/>
          </w:tcPr>
          <w:p>
            <w:pPr>
              <w:widowControl/>
              <w:spacing w:line="360" w:lineRule="exact"/>
              <w:jc w:val="left"/>
              <w:rPr>
                <w:rFonts w:hint="eastAsia" w:ascii="宋体" w:hAnsi="宋体" w:eastAsia="宋体" w:cs="宋体"/>
                <w:color w:val="auto"/>
                <w:sz w:val="21"/>
                <w:szCs w:val="21"/>
                <w:lang w:eastAsia="zh-CN"/>
              </w:rPr>
            </w:pPr>
            <w:r>
              <w:rPr>
                <w:rFonts w:hint="eastAsia" w:ascii="黑体" w:hAnsi="黑体" w:eastAsia="黑体" w:cs="黑体"/>
                <w:color w:val="auto"/>
                <w:sz w:val="21"/>
                <w:szCs w:val="21"/>
                <w:lang w:eastAsia="zh-CN"/>
              </w:rPr>
              <w:t>二、加分指标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787" w:type="dxa"/>
            <w:vAlign w:val="center"/>
          </w:tcPr>
          <w:p>
            <w:pPr>
              <w:widowControl/>
              <w:spacing w:line="360" w:lineRule="exact"/>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eastAsia="zh-CN"/>
              </w:rPr>
              <w:t>积分项目</w:t>
            </w:r>
          </w:p>
        </w:tc>
        <w:tc>
          <w:tcPr>
            <w:tcW w:w="6233" w:type="dxa"/>
            <w:gridSpan w:val="8"/>
            <w:vAlign w:val="center"/>
          </w:tcPr>
          <w:p>
            <w:pPr>
              <w:widowControl/>
              <w:spacing w:line="360" w:lineRule="exact"/>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eastAsia="zh-CN"/>
              </w:rPr>
              <w:t>积分标准</w:t>
            </w:r>
          </w:p>
        </w:tc>
        <w:tc>
          <w:tcPr>
            <w:tcW w:w="5375" w:type="dxa"/>
            <w:gridSpan w:val="3"/>
            <w:vAlign w:val="center"/>
          </w:tcPr>
          <w:p>
            <w:pPr>
              <w:widowControl/>
              <w:spacing w:line="360" w:lineRule="exact"/>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eastAsia="zh-CN"/>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787" w:type="dxa"/>
            <w:vMerge w:val="restart"/>
            <w:vAlign w:val="center"/>
          </w:tcPr>
          <w:p>
            <w:pPr>
              <w:widowControl/>
              <w:spacing w:line="360" w:lineRule="exact"/>
              <w:jc w:val="left"/>
              <w:rPr>
                <w:rFonts w:hint="eastAsia" w:hAnsi="宋体" w:cs="宋体" w:eastAsiaTheme="minorEastAsia"/>
                <w:color w:val="000000"/>
                <w:kern w:val="0"/>
                <w:sz w:val="21"/>
                <w:szCs w:val="21"/>
                <w:lang w:eastAsia="zh-CN"/>
              </w:rPr>
            </w:pPr>
            <w:r>
              <w:rPr>
                <w:rFonts w:hint="eastAsia" w:hAnsi="宋体" w:cs="宋体"/>
                <w:color w:val="000000"/>
                <w:kern w:val="0"/>
                <w:sz w:val="21"/>
                <w:szCs w:val="21"/>
                <w:lang w:eastAsia="zh-CN"/>
              </w:rPr>
              <w:t>技能得分</w:t>
            </w:r>
          </w:p>
        </w:tc>
        <w:tc>
          <w:tcPr>
            <w:tcW w:w="1178" w:type="dxa"/>
            <w:gridSpan w:val="3"/>
            <w:vMerge w:val="restart"/>
            <w:vAlign w:val="center"/>
          </w:tcPr>
          <w:p>
            <w:pPr>
              <w:widowControl/>
              <w:spacing w:line="360" w:lineRule="exact"/>
              <w:jc w:val="center"/>
              <w:rPr>
                <w:rFonts w:hint="eastAsia" w:hAnsi="宋体" w:cs="宋体"/>
                <w:color w:val="000000"/>
                <w:kern w:val="0"/>
                <w:sz w:val="21"/>
                <w:szCs w:val="21"/>
              </w:rPr>
            </w:pPr>
            <w:r>
              <w:rPr>
                <w:rFonts w:hint="eastAsia" w:hAnsi="宋体" w:cs="宋体"/>
                <w:color w:val="000000"/>
                <w:kern w:val="0"/>
                <w:sz w:val="21"/>
                <w:szCs w:val="21"/>
              </w:rPr>
              <w:t>职业资格或专业技术资格得分</w:t>
            </w:r>
          </w:p>
        </w:tc>
        <w:tc>
          <w:tcPr>
            <w:tcW w:w="1692" w:type="dxa"/>
            <w:gridSpan w:val="2"/>
            <w:vAlign w:val="center"/>
          </w:tcPr>
          <w:p>
            <w:pPr>
              <w:widowControl/>
              <w:spacing w:line="360" w:lineRule="exact"/>
              <w:jc w:val="left"/>
              <w:rPr>
                <w:rFonts w:hint="eastAsia" w:hAnsi="宋体" w:cs="宋体"/>
                <w:color w:val="000000"/>
                <w:kern w:val="0"/>
                <w:sz w:val="21"/>
                <w:szCs w:val="21"/>
              </w:rPr>
            </w:pPr>
            <w:r>
              <w:rPr>
                <w:rFonts w:hint="eastAsia" w:hAnsi="宋体" w:cs="宋体"/>
                <w:color w:val="000000"/>
                <w:kern w:val="0"/>
                <w:sz w:val="21"/>
                <w:szCs w:val="21"/>
              </w:rPr>
              <w:t>初级技工</w:t>
            </w:r>
          </w:p>
        </w:tc>
        <w:tc>
          <w:tcPr>
            <w:tcW w:w="1538" w:type="dxa"/>
            <w:gridSpan w:val="2"/>
            <w:vAlign w:val="center"/>
          </w:tcPr>
          <w:p>
            <w:pPr>
              <w:widowControl/>
              <w:spacing w:line="360" w:lineRule="exact"/>
              <w:jc w:val="center"/>
              <w:rPr>
                <w:rFonts w:hint="eastAsia" w:hAnsi="宋体" w:cs="宋体"/>
                <w:color w:val="000000"/>
                <w:kern w:val="0"/>
                <w:sz w:val="21"/>
                <w:szCs w:val="21"/>
              </w:rPr>
            </w:pPr>
            <w:r>
              <w:rPr>
                <w:rFonts w:hint="eastAsia" w:hAnsi="宋体" w:cs="宋体"/>
                <w:color w:val="000000"/>
                <w:kern w:val="0"/>
                <w:sz w:val="21"/>
                <w:szCs w:val="21"/>
              </w:rPr>
              <w:t>20分</w:t>
            </w:r>
          </w:p>
        </w:tc>
        <w:tc>
          <w:tcPr>
            <w:tcW w:w="1825" w:type="dxa"/>
            <w:vMerge w:val="restart"/>
            <w:vAlign w:val="center"/>
          </w:tcPr>
          <w:p>
            <w:pPr>
              <w:spacing w:line="360" w:lineRule="exact"/>
              <w:jc w:val="left"/>
              <w:rPr>
                <w:rFonts w:hint="eastAsia"/>
                <w:sz w:val="21"/>
                <w:szCs w:val="21"/>
              </w:rPr>
            </w:pPr>
            <w:r>
              <w:rPr>
                <w:rFonts w:hint="eastAsia"/>
                <w:sz w:val="21"/>
                <w:szCs w:val="21"/>
              </w:rPr>
              <w:t>按最高职业资格或专业技术资格计分，不累加计分。</w:t>
            </w:r>
          </w:p>
          <w:p>
            <w:pPr>
              <w:spacing w:line="300" w:lineRule="exact"/>
              <w:rPr>
                <w:rFonts w:hint="eastAsia"/>
                <w:sz w:val="21"/>
                <w:szCs w:val="21"/>
              </w:rPr>
            </w:pPr>
          </w:p>
        </w:tc>
        <w:tc>
          <w:tcPr>
            <w:tcW w:w="5375" w:type="dxa"/>
            <w:gridSpan w:val="3"/>
            <w:vMerge w:val="restart"/>
            <w:vAlign w:val="center"/>
          </w:tcPr>
          <w:p>
            <w:pPr>
              <w:widowControl/>
              <w:spacing w:line="360" w:lineRule="exact"/>
              <w:jc w:val="left"/>
              <w:rPr>
                <w:rFonts w:hint="eastAsia" w:ascii="宋体" w:hAnsi="宋体" w:eastAsia="宋体" w:cs="宋体"/>
                <w:color w:val="000000"/>
                <w:kern w:val="0"/>
                <w:sz w:val="21"/>
                <w:szCs w:val="21"/>
              </w:rPr>
            </w:pPr>
            <w:r>
              <w:rPr>
                <w:rFonts w:hint="eastAsia" w:ascii="宋体" w:hAnsi="宋体" w:eastAsia="宋体" w:cs="宋体"/>
                <w:color w:val="auto"/>
                <w:sz w:val="21"/>
                <w:szCs w:val="21"/>
              </w:rPr>
              <w:t>职业资格（含初级技工、中级技工、高级技工、技师、高级技师），应提供经国家或各省人力资源社会保障部门官方网站验证通过的职业资格证书原件及复印件</w:t>
            </w:r>
            <w:r>
              <w:rPr>
                <w:rFonts w:hint="eastAsia" w:ascii="宋体" w:hAnsi="宋体" w:eastAsia="宋体" w:cs="宋体"/>
                <w:color w:val="auto"/>
                <w:sz w:val="21"/>
                <w:szCs w:val="21"/>
                <w:lang w:eastAsia="zh-CN"/>
              </w:rPr>
              <w:t>（如有疑问可咨询区人社局培训就业股：</w:t>
            </w:r>
            <w:r>
              <w:rPr>
                <w:rFonts w:hint="eastAsia" w:ascii="宋体" w:hAnsi="宋体" w:eastAsia="宋体" w:cs="宋体"/>
                <w:color w:val="auto"/>
                <w:sz w:val="21"/>
                <w:szCs w:val="21"/>
                <w:lang w:val="en-US" w:eastAsia="zh-CN"/>
              </w:rPr>
              <w:t>87718003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auto"/>
                <w:sz w:val="21"/>
                <w:szCs w:val="21"/>
              </w:rPr>
              <w:t>专业技术资格，应提供专业技术资格证书原件及复印件，并同时提供评审表（或考核认定表）原件和复印件。凡在外省经评审获得专业技术资格的人员，均须按要求申请办理省外来粤专业技术资格确认，并提供确认后的专业技术资格证书原件及复印件，同时提供评审表原件和复印件</w:t>
            </w:r>
            <w:r>
              <w:rPr>
                <w:rFonts w:hint="eastAsia" w:ascii="宋体" w:hAnsi="宋体" w:eastAsia="宋体" w:cs="宋体"/>
                <w:color w:val="auto"/>
                <w:sz w:val="21"/>
                <w:szCs w:val="21"/>
                <w:lang w:eastAsia="zh-CN"/>
              </w:rPr>
              <w:t>。（办理过程中的疑问请咨询区人社局专技科：</w:t>
            </w:r>
            <w:r>
              <w:rPr>
                <w:rFonts w:hint="eastAsia" w:ascii="宋体" w:hAnsi="宋体" w:eastAsia="宋体" w:cs="宋体"/>
                <w:color w:val="auto"/>
                <w:sz w:val="21"/>
                <w:szCs w:val="21"/>
                <w:lang w:val="en-US" w:eastAsia="zh-CN"/>
              </w:rPr>
              <w:t>87733387</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企业评定的相当岗位等级技术技能，应提供人力资源社会保障部门出具的备案文件</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87" w:type="dxa"/>
            <w:vMerge w:val="continue"/>
            <w:vAlign w:val="center"/>
          </w:tcPr>
          <w:p>
            <w:pPr>
              <w:widowControl/>
              <w:spacing w:line="360" w:lineRule="exact"/>
              <w:jc w:val="left"/>
              <w:rPr>
                <w:rFonts w:hint="eastAsia" w:hAnsi="宋体" w:cs="宋体"/>
                <w:color w:val="000000"/>
                <w:kern w:val="0"/>
                <w:sz w:val="21"/>
                <w:szCs w:val="21"/>
              </w:rPr>
            </w:pPr>
          </w:p>
        </w:tc>
        <w:tc>
          <w:tcPr>
            <w:tcW w:w="1178" w:type="dxa"/>
            <w:gridSpan w:val="3"/>
            <w:vMerge w:val="continue"/>
            <w:vAlign w:val="center"/>
          </w:tcPr>
          <w:p>
            <w:pPr>
              <w:widowControl/>
              <w:spacing w:line="360" w:lineRule="exact"/>
              <w:jc w:val="left"/>
              <w:rPr>
                <w:rFonts w:hint="eastAsia" w:hAnsi="宋体" w:cs="宋体"/>
                <w:color w:val="000000"/>
                <w:kern w:val="0"/>
                <w:sz w:val="21"/>
                <w:szCs w:val="21"/>
              </w:rPr>
            </w:pPr>
          </w:p>
        </w:tc>
        <w:tc>
          <w:tcPr>
            <w:tcW w:w="1692" w:type="dxa"/>
            <w:gridSpan w:val="2"/>
            <w:vAlign w:val="center"/>
          </w:tcPr>
          <w:p>
            <w:pPr>
              <w:widowControl/>
              <w:spacing w:line="360" w:lineRule="exact"/>
              <w:jc w:val="left"/>
              <w:rPr>
                <w:rFonts w:hint="eastAsia" w:hAnsi="宋体" w:cs="宋体"/>
                <w:color w:val="000000"/>
                <w:kern w:val="0"/>
                <w:sz w:val="21"/>
                <w:szCs w:val="21"/>
              </w:rPr>
            </w:pPr>
            <w:r>
              <w:rPr>
                <w:rFonts w:hint="eastAsia" w:hAnsi="宋体" w:cs="宋体"/>
                <w:color w:val="000000"/>
                <w:kern w:val="0"/>
                <w:sz w:val="21"/>
                <w:szCs w:val="21"/>
              </w:rPr>
              <w:t>中级技工</w:t>
            </w:r>
          </w:p>
        </w:tc>
        <w:tc>
          <w:tcPr>
            <w:tcW w:w="1538" w:type="dxa"/>
            <w:gridSpan w:val="2"/>
            <w:vAlign w:val="center"/>
          </w:tcPr>
          <w:p>
            <w:pPr>
              <w:widowControl/>
              <w:spacing w:line="360" w:lineRule="exact"/>
              <w:jc w:val="center"/>
              <w:rPr>
                <w:rFonts w:hint="eastAsia" w:hAnsi="宋体" w:cs="宋体"/>
                <w:color w:val="000000"/>
                <w:kern w:val="0"/>
                <w:sz w:val="21"/>
                <w:szCs w:val="21"/>
              </w:rPr>
            </w:pPr>
            <w:r>
              <w:rPr>
                <w:rFonts w:hint="eastAsia" w:hAnsi="宋体" w:cs="宋体"/>
                <w:color w:val="000000"/>
                <w:kern w:val="0"/>
                <w:sz w:val="21"/>
                <w:szCs w:val="21"/>
              </w:rPr>
              <w:t>40分</w:t>
            </w:r>
          </w:p>
        </w:tc>
        <w:tc>
          <w:tcPr>
            <w:tcW w:w="1825" w:type="dxa"/>
            <w:vMerge w:val="continue"/>
            <w:vAlign w:val="center"/>
          </w:tcPr>
          <w:p>
            <w:pPr>
              <w:widowControl/>
              <w:spacing w:line="360" w:lineRule="exact"/>
              <w:jc w:val="left"/>
              <w:rPr>
                <w:rFonts w:hint="eastAsia" w:hAnsi="宋体" w:cs="宋体"/>
                <w:color w:val="000000"/>
                <w:kern w:val="0"/>
                <w:sz w:val="21"/>
                <w:szCs w:val="21"/>
              </w:rPr>
            </w:pPr>
          </w:p>
        </w:tc>
        <w:tc>
          <w:tcPr>
            <w:tcW w:w="5375" w:type="dxa"/>
            <w:gridSpan w:val="3"/>
            <w:vMerge w:val="continue"/>
            <w:vAlign w:val="center"/>
          </w:tcPr>
          <w:p>
            <w:pPr>
              <w:widowControl/>
              <w:spacing w:line="360" w:lineRule="exact"/>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787" w:type="dxa"/>
            <w:vMerge w:val="continue"/>
            <w:vAlign w:val="center"/>
          </w:tcPr>
          <w:p>
            <w:pPr>
              <w:widowControl/>
              <w:spacing w:line="360" w:lineRule="exact"/>
              <w:jc w:val="left"/>
              <w:rPr>
                <w:rFonts w:hint="eastAsia" w:hAnsi="宋体" w:cs="宋体"/>
                <w:color w:val="000000"/>
                <w:kern w:val="0"/>
                <w:sz w:val="21"/>
                <w:szCs w:val="21"/>
              </w:rPr>
            </w:pPr>
          </w:p>
        </w:tc>
        <w:tc>
          <w:tcPr>
            <w:tcW w:w="1178" w:type="dxa"/>
            <w:gridSpan w:val="3"/>
            <w:vMerge w:val="continue"/>
            <w:vAlign w:val="center"/>
          </w:tcPr>
          <w:p>
            <w:pPr>
              <w:widowControl/>
              <w:spacing w:line="360" w:lineRule="exact"/>
              <w:jc w:val="left"/>
              <w:rPr>
                <w:rFonts w:hint="eastAsia" w:hAnsi="宋体" w:cs="宋体"/>
                <w:color w:val="000000"/>
                <w:kern w:val="0"/>
                <w:sz w:val="21"/>
                <w:szCs w:val="21"/>
              </w:rPr>
            </w:pPr>
          </w:p>
        </w:tc>
        <w:tc>
          <w:tcPr>
            <w:tcW w:w="1692" w:type="dxa"/>
            <w:gridSpan w:val="2"/>
            <w:vAlign w:val="center"/>
          </w:tcPr>
          <w:p>
            <w:pPr>
              <w:widowControl/>
              <w:spacing w:line="360" w:lineRule="exact"/>
              <w:jc w:val="left"/>
              <w:rPr>
                <w:rFonts w:hint="eastAsia" w:hAnsi="宋体" w:cs="宋体"/>
                <w:color w:val="000000"/>
                <w:kern w:val="0"/>
                <w:sz w:val="21"/>
                <w:szCs w:val="21"/>
              </w:rPr>
            </w:pPr>
            <w:r>
              <w:rPr>
                <w:rFonts w:hint="eastAsia" w:hAnsi="宋体" w:cs="宋体"/>
                <w:color w:val="000000"/>
                <w:kern w:val="0"/>
                <w:sz w:val="21"/>
                <w:szCs w:val="21"/>
              </w:rPr>
              <w:t>高级技工、专业技术资格初级</w:t>
            </w:r>
          </w:p>
        </w:tc>
        <w:tc>
          <w:tcPr>
            <w:tcW w:w="1538" w:type="dxa"/>
            <w:gridSpan w:val="2"/>
            <w:vAlign w:val="center"/>
          </w:tcPr>
          <w:p>
            <w:pPr>
              <w:widowControl/>
              <w:spacing w:line="360" w:lineRule="exact"/>
              <w:jc w:val="center"/>
              <w:rPr>
                <w:rFonts w:hint="eastAsia" w:hAnsi="宋体" w:cs="宋体"/>
                <w:color w:val="000000"/>
                <w:kern w:val="0"/>
                <w:sz w:val="21"/>
                <w:szCs w:val="21"/>
              </w:rPr>
            </w:pPr>
            <w:r>
              <w:rPr>
                <w:rFonts w:hint="eastAsia" w:hAnsi="宋体" w:cs="宋体"/>
                <w:color w:val="000000"/>
                <w:kern w:val="0"/>
                <w:sz w:val="21"/>
                <w:szCs w:val="21"/>
              </w:rPr>
              <w:t>50分</w:t>
            </w:r>
          </w:p>
        </w:tc>
        <w:tc>
          <w:tcPr>
            <w:tcW w:w="1825" w:type="dxa"/>
            <w:vMerge w:val="continue"/>
            <w:vAlign w:val="center"/>
          </w:tcPr>
          <w:p>
            <w:pPr>
              <w:widowControl/>
              <w:spacing w:line="360" w:lineRule="exact"/>
              <w:jc w:val="left"/>
              <w:rPr>
                <w:rFonts w:hint="eastAsia" w:hAnsi="宋体" w:cs="宋体"/>
                <w:color w:val="000000"/>
                <w:kern w:val="0"/>
                <w:sz w:val="21"/>
                <w:szCs w:val="21"/>
              </w:rPr>
            </w:pPr>
          </w:p>
        </w:tc>
        <w:tc>
          <w:tcPr>
            <w:tcW w:w="5375" w:type="dxa"/>
            <w:gridSpan w:val="3"/>
            <w:vMerge w:val="continue"/>
            <w:vAlign w:val="center"/>
          </w:tcPr>
          <w:p>
            <w:pPr>
              <w:widowControl/>
              <w:spacing w:line="360" w:lineRule="exact"/>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787" w:type="dxa"/>
            <w:vMerge w:val="continue"/>
            <w:vAlign w:val="center"/>
          </w:tcPr>
          <w:p>
            <w:pPr>
              <w:widowControl/>
              <w:spacing w:line="300" w:lineRule="exact"/>
              <w:jc w:val="center"/>
              <w:rPr>
                <w:rFonts w:hint="eastAsia" w:hAnsi="宋体" w:cs="宋体"/>
                <w:color w:val="000000"/>
                <w:kern w:val="0"/>
                <w:sz w:val="21"/>
                <w:szCs w:val="21"/>
              </w:rPr>
            </w:pPr>
          </w:p>
        </w:tc>
        <w:tc>
          <w:tcPr>
            <w:tcW w:w="1178" w:type="dxa"/>
            <w:gridSpan w:val="3"/>
            <w:vMerge w:val="continue"/>
            <w:vAlign w:val="center"/>
          </w:tcPr>
          <w:p>
            <w:pPr>
              <w:widowControl/>
              <w:spacing w:line="300" w:lineRule="exact"/>
              <w:jc w:val="center"/>
              <w:rPr>
                <w:rFonts w:hint="eastAsia" w:hAnsi="宋体" w:cs="宋体"/>
                <w:color w:val="000000"/>
                <w:kern w:val="0"/>
                <w:sz w:val="21"/>
                <w:szCs w:val="21"/>
              </w:rPr>
            </w:pPr>
          </w:p>
        </w:tc>
        <w:tc>
          <w:tcPr>
            <w:tcW w:w="1692" w:type="dxa"/>
            <w:gridSpan w:val="2"/>
            <w:vAlign w:val="center"/>
          </w:tcPr>
          <w:p>
            <w:pPr>
              <w:widowControl/>
              <w:spacing w:line="300" w:lineRule="exact"/>
              <w:jc w:val="left"/>
              <w:rPr>
                <w:rFonts w:hint="eastAsia" w:hAnsi="宋体" w:cs="宋体"/>
                <w:color w:val="000000"/>
                <w:kern w:val="0"/>
                <w:sz w:val="21"/>
                <w:szCs w:val="21"/>
              </w:rPr>
            </w:pPr>
            <w:r>
              <w:rPr>
                <w:rFonts w:hint="eastAsia" w:hAnsi="宋体" w:cs="宋体"/>
                <w:color w:val="000000"/>
                <w:kern w:val="0"/>
                <w:sz w:val="21"/>
                <w:szCs w:val="21"/>
              </w:rPr>
              <w:t>技师、专业技术资格中级</w:t>
            </w:r>
          </w:p>
        </w:tc>
        <w:tc>
          <w:tcPr>
            <w:tcW w:w="1538" w:type="dxa"/>
            <w:gridSpan w:val="2"/>
            <w:vAlign w:val="center"/>
          </w:tcPr>
          <w:p>
            <w:pPr>
              <w:widowControl/>
              <w:spacing w:line="300" w:lineRule="exact"/>
              <w:jc w:val="center"/>
              <w:rPr>
                <w:rFonts w:hint="eastAsia" w:hAnsi="宋体" w:cs="宋体"/>
                <w:color w:val="000000"/>
                <w:kern w:val="0"/>
                <w:sz w:val="21"/>
                <w:szCs w:val="21"/>
              </w:rPr>
            </w:pPr>
            <w:r>
              <w:rPr>
                <w:rFonts w:hint="eastAsia" w:hAnsi="宋体" w:cs="宋体"/>
                <w:color w:val="000000"/>
                <w:kern w:val="0"/>
                <w:sz w:val="21"/>
                <w:szCs w:val="21"/>
              </w:rPr>
              <w:t>60分</w:t>
            </w:r>
          </w:p>
        </w:tc>
        <w:tc>
          <w:tcPr>
            <w:tcW w:w="1825" w:type="dxa"/>
            <w:vMerge w:val="continue"/>
            <w:vAlign w:val="center"/>
          </w:tcPr>
          <w:p>
            <w:pPr>
              <w:spacing w:line="300" w:lineRule="exact"/>
              <w:rPr>
                <w:rFonts w:hint="eastAsia"/>
                <w:sz w:val="21"/>
                <w:szCs w:val="21"/>
              </w:rPr>
            </w:pPr>
          </w:p>
        </w:tc>
        <w:tc>
          <w:tcPr>
            <w:tcW w:w="5375" w:type="dxa"/>
            <w:gridSpan w:val="3"/>
            <w:vMerge w:val="continue"/>
            <w:vAlign w:val="center"/>
          </w:tcPr>
          <w:p>
            <w:pPr>
              <w:widowControl/>
              <w:spacing w:line="300" w:lineRule="exact"/>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787" w:type="dxa"/>
            <w:vMerge w:val="continue"/>
            <w:vAlign w:val="center"/>
          </w:tcPr>
          <w:p>
            <w:pPr>
              <w:widowControl/>
              <w:spacing w:line="300" w:lineRule="exact"/>
              <w:jc w:val="left"/>
              <w:rPr>
                <w:rFonts w:hint="eastAsia" w:hAnsi="宋体" w:cs="宋体"/>
                <w:color w:val="000000"/>
                <w:kern w:val="0"/>
                <w:sz w:val="21"/>
                <w:szCs w:val="21"/>
              </w:rPr>
            </w:pPr>
          </w:p>
        </w:tc>
        <w:tc>
          <w:tcPr>
            <w:tcW w:w="1178" w:type="dxa"/>
            <w:gridSpan w:val="3"/>
            <w:vMerge w:val="continue"/>
            <w:vAlign w:val="center"/>
          </w:tcPr>
          <w:p>
            <w:pPr>
              <w:widowControl/>
              <w:spacing w:line="300" w:lineRule="exact"/>
              <w:jc w:val="left"/>
              <w:rPr>
                <w:rFonts w:hint="eastAsia" w:hAnsi="宋体" w:cs="宋体"/>
                <w:color w:val="000000"/>
                <w:kern w:val="0"/>
                <w:sz w:val="21"/>
                <w:szCs w:val="21"/>
              </w:rPr>
            </w:pPr>
          </w:p>
        </w:tc>
        <w:tc>
          <w:tcPr>
            <w:tcW w:w="1692" w:type="dxa"/>
            <w:gridSpan w:val="2"/>
            <w:vAlign w:val="center"/>
          </w:tcPr>
          <w:p>
            <w:pPr>
              <w:widowControl/>
              <w:spacing w:line="300" w:lineRule="exact"/>
              <w:jc w:val="left"/>
              <w:rPr>
                <w:rFonts w:hint="eastAsia" w:hAnsi="宋体" w:cs="宋体"/>
                <w:color w:val="000000"/>
                <w:kern w:val="0"/>
                <w:sz w:val="21"/>
                <w:szCs w:val="21"/>
              </w:rPr>
            </w:pPr>
            <w:r>
              <w:rPr>
                <w:rFonts w:hint="eastAsia" w:hAnsi="宋体" w:cs="宋体"/>
                <w:color w:val="000000"/>
                <w:kern w:val="0"/>
                <w:sz w:val="21"/>
                <w:szCs w:val="21"/>
              </w:rPr>
              <w:t>高级技师、专业技术资格高级</w:t>
            </w:r>
          </w:p>
        </w:tc>
        <w:tc>
          <w:tcPr>
            <w:tcW w:w="1538" w:type="dxa"/>
            <w:gridSpan w:val="2"/>
            <w:vAlign w:val="center"/>
          </w:tcPr>
          <w:p>
            <w:pPr>
              <w:widowControl/>
              <w:spacing w:line="300" w:lineRule="exact"/>
              <w:jc w:val="center"/>
              <w:rPr>
                <w:rFonts w:hint="eastAsia" w:hAnsi="宋体" w:cs="宋体"/>
                <w:color w:val="000000"/>
                <w:kern w:val="0"/>
                <w:sz w:val="21"/>
                <w:szCs w:val="21"/>
              </w:rPr>
            </w:pPr>
            <w:r>
              <w:rPr>
                <w:rFonts w:hint="eastAsia" w:hAnsi="宋体" w:cs="宋体"/>
                <w:color w:val="000000"/>
                <w:kern w:val="0"/>
                <w:sz w:val="21"/>
                <w:szCs w:val="21"/>
              </w:rPr>
              <w:t>80分</w:t>
            </w:r>
          </w:p>
        </w:tc>
        <w:tc>
          <w:tcPr>
            <w:tcW w:w="1825" w:type="dxa"/>
            <w:vMerge w:val="continue"/>
            <w:vAlign w:val="center"/>
          </w:tcPr>
          <w:p>
            <w:pPr>
              <w:widowControl/>
              <w:spacing w:line="300" w:lineRule="exact"/>
              <w:jc w:val="left"/>
              <w:rPr>
                <w:rFonts w:hint="eastAsia" w:hAnsi="宋体" w:cs="宋体"/>
                <w:color w:val="000000"/>
                <w:kern w:val="0"/>
                <w:sz w:val="21"/>
                <w:szCs w:val="21"/>
              </w:rPr>
            </w:pPr>
          </w:p>
        </w:tc>
        <w:tc>
          <w:tcPr>
            <w:tcW w:w="5375" w:type="dxa"/>
            <w:gridSpan w:val="3"/>
            <w:vMerge w:val="continue"/>
            <w:vAlign w:val="center"/>
          </w:tcPr>
          <w:p>
            <w:pPr>
              <w:widowControl/>
              <w:spacing w:line="300" w:lineRule="exact"/>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787" w:type="dxa"/>
            <w:vAlign w:val="center"/>
          </w:tcPr>
          <w:p>
            <w:pPr>
              <w:widowControl/>
              <w:spacing w:line="310" w:lineRule="exact"/>
              <w:jc w:val="left"/>
              <w:rPr>
                <w:rFonts w:hint="eastAsia" w:hAnsi="宋体" w:eastAsia="仿宋_GB2312" w:cs="宋体"/>
                <w:color w:val="000000"/>
                <w:kern w:val="0"/>
                <w:sz w:val="21"/>
                <w:szCs w:val="21"/>
                <w:lang w:eastAsia="zh-CN"/>
              </w:rPr>
            </w:pPr>
            <w:r>
              <w:rPr>
                <w:rFonts w:hint="eastAsia" w:hAnsi="宋体" w:cs="宋体"/>
                <w:color w:val="000000"/>
                <w:kern w:val="0"/>
                <w:sz w:val="21"/>
                <w:szCs w:val="21"/>
                <w:lang w:eastAsia="zh-CN"/>
              </w:rPr>
              <w:t>特定公共服务岗位积分</w:t>
            </w:r>
          </w:p>
        </w:tc>
        <w:tc>
          <w:tcPr>
            <w:tcW w:w="6233" w:type="dxa"/>
            <w:gridSpan w:val="8"/>
            <w:vAlign w:val="center"/>
          </w:tcPr>
          <w:p>
            <w:pPr>
              <w:widowControl/>
              <w:spacing w:line="310" w:lineRule="exact"/>
              <w:jc w:val="left"/>
              <w:rPr>
                <w:rFonts w:hint="eastAsia" w:hAnsi="宋体" w:eastAsia="仿宋_GB2312" w:cs="宋体"/>
                <w:color w:val="000000"/>
                <w:kern w:val="0"/>
                <w:sz w:val="21"/>
                <w:szCs w:val="21"/>
                <w:lang w:eastAsia="zh-CN"/>
              </w:rPr>
            </w:pPr>
            <w:r>
              <w:rPr>
                <w:rFonts w:hint="eastAsia" w:hAnsi="宋体" w:cs="宋体"/>
                <w:color w:val="000000"/>
                <w:kern w:val="0"/>
                <w:sz w:val="21"/>
                <w:szCs w:val="21"/>
                <w:lang w:eastAsia="zh-CN"/>
              </w:rPr>
              <w:t>在本市</w:t>
            </w:r>
            <w:bookmarkStart w:id="0" w:name="_GoBack"/>
            <w:bookmarkEnd w:id="0"/>
            <w:r>
              <w:rPr>
                <w:rFonts w:hint="eastAsia" w:hAnsi="宋体" w:cs="宋体"/>
                <w:color w:val="000000"/>
                <w:kern w:val="0"/>
                <w:sz w:val="21"/>
                <w:szCs w:val="21"/>
                <w:lang w:eastAsia="zh-CN"/>
              </w:rPr>
              <w:t>从事环卫、公共交通驾驶员工作的公共服务岗位人员，每满</w:t>
            </w:r>
            <w:r>
              <w:rPr>
                <w:rFonts w:hint="eastAsia" w:hAnsi="宋体" w:cs="宋体"/>
                <w:color w:val="000000"/>
                <w:kern w:val="0"/>
                <w:sz w:val="21"/>
                <w:szCs w:val="21"/>
                <w:lang w:val="en-US" w:eastAsia="zh-CN"/>
              </w:rPr>
              <w:t>1年积8分，最高分值80分。</w:t>
            </w:r>
          </w:p>
        </w:tc>
        <w:tc>
          <w:tcPr>
            <w:tcW w:w="5375" w:type="dxa"/>
            <w:gridSpan w:val="3"/>
            <w:vAlign w:val="center"/>
          </w:tcPr>
          <w:p>
            <w:pPr>
              <w:widowControl/>
              <w:spacing w:line="310" w:lineRule="exact"/>
              <w:jc w:val="center"/>
              <w:rPr>
                <w:rFonts w:hint="eastAsia" w:ascii="宋体" w:hAnsi="宋体" w:eastAsia="宋体" w:cs="宋体"/>
                <w:color w:val="000000"/>
                <w:kern w:val="0"/>
                <w:sz w:val="21"/>
                <w:szCs w:val="21"/>
              </w:rPr>
            </w:pPr>
            <w:r>
              <w:rPr>
                <w:rFonts w:hint="eastAsia" w:ascii="宋体" w:hAnsi="宋体" w:eastAsia="宋体" w:cs="宋体"/>
                <w:color w:val="auto"/>
                <w:sz w:val="21"/>
                <w:szCs w:val="21"/>
              </w:rPr>
              <w:t>应提供环卫、公共交通的工作证原件、复印件以及相关行业行政主管部门开具的证明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787" w:type="dxa"/>
            <w:vMerge w:val="restart"/>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rPr>
              <w:t>科技创新积分</w:t>
            </w:r>
          </w:p>
        </w:tc>
        <w:tc>
          <w:tcPr>
            <w:tcW w:w="6233" w:type="dxa"/>
            <w:gridSpan w:val="8"/>
            <w:vAlign w:val="top"/>
          </w:tcPr>
          <w:p>
            <w:pPr>
              <w:widowControl/>
              <w:spacing w:line="310" w:lineRule="exact"/>
              <w:jc w:val="both"/>
              <w:rPr>
                <w:rFonts w:hint="eastAsia" w:hAnsi="宋体" w:cs="宋体"/>
                <w:color w:val="000000"/>
                <w:kern w:val="0"/>
                <w:sz w:val="21"/>
                <w:szCs w:val="21"/>
              </w:rPr>
            </w:pPr>
            <w:r>
              <w:rPr>
                <w:rFonts w:hint="eastAsia" w:hAnsi="宋体" w:cs="宋体"/>
                <w:color w:val="000000"/>
                <w:kern w:val="0"/>
                <w:sz w:val="21"/>
                <w:szCs w:val="21"/>
              </w:rPr>
              <w:t>近5年内获得国家发明专利，专利权人、发明人每获得1项积50分。多人共有专利的，专利权人、发明人所得分数按50/（人数+1）计算，如为第一专利人（专利权人、发明人）的，加计一份平均分，即得分再“乘以2”。专利权人和发明人为同一人不重复计分，多项可累计积分。</w:t>
            </w:r>
          </w:p>
        </w:tc>
        <w:tc>
          <w:tcPr>
            <w:tcW w:w="5375" w:type="dxa"/>
            <w:gridSpan w:val="3"/>
            <w:vMerge w:val="restart"/>
            <w:vAlign w:val="center"/>
          </w:tcPr>
          <w:p>
            <w:pPr>
              <w:widowControl/>
              <w:spacing w:line="310" w:lineRule="exact"/>
              <w:jc w:val="center"/>
              <w:rPr>
                <w:rFonts w:hint="eastAsia" w:ascii="宋体" w:hAnsi="宋体" w:eastAsia="宋体" w:cs="宋体"/>
                <w:color w:val="000000"/>
                <w:kern w:val="0"/>
                <w:sz w:val="21"/>
                <w:szCs w:val="21"/>
              </w:rPr>
            </w:pPr>
            <w:r>
              <w:rPr>
                <w:rFonts w:hint="eastAsia" w:ascii="宋体" w:hAnsi="宋体" w:eastAsia="宋体" w:cs="宋体"/>
                <w:color w:val="auto"/>
                <w:sz w:val="21"/>
                <w:szCs w:val="21"/>
              </w:rPr>
              <w:t>应提供科技创新奖励文件材料或专利授权证书原件及复印件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1787" w:type="dxa"/>
            <w:vMerge w:val="continue"/>
            <w:vAlign w:val="center"/>
          </w:tcPr>
          <w:p>
            <w:pPr>
              <w:widowControl/>
              <w:spacing w:line="280" w:lineRule="exact"/>
              <w:jc w:val="center"/>
              <w:rPr>
                <w:rFonts w:hint="eastAsia" w:hAnsi="宋体" w:cs="宋体"/>
                <w:color w:val="000000"/>
                <w:kern w:val="0"/>
                <w:sz w:val="21"/>
                <w:szCs w:val="21"/>
              </w:rPr>
            </w:pPr>
          </w:p>
        </w:tc>
        <w:tc>
          <w:tcPr>
            <w:tcW w:w="6233" w:type="dxa"/>
            <w:gridSpan w:val="8"/>
            <w:vAlign w:val="top"/>
          </w:tcPr>
          <w:p>
            <w:pPr>
              <w:widowControl/>
              <w:spacing w:line="310" w:lineRule="exact"/>
              <w:jc w:val="both"/>
              <w:rPr>
                <w:rFonts w:hint="eastAsia" w:hAnsi="宋体" w:cs="宋体"/>
                <w:color w:val="000000"/>
                <w:kern w:val="0"/>
                <w:sz w:val="21"/>
                <w:szCs w:val="21"/>
              </w:rPr>
            </w:pPr>
            <w:r>
              <w:rPr>
                <w:rFonts w:hint="eastAsia" w:hAnsi="宋体" w:cs="宋体"/>
                <w:color w:val="000000"/>
                <w:kern w:val="0"/>
                <w:sz w:val="21"/>
                <w:szCs w:val="21"/>
              </w:rPr>
              <w:t>近5年内获得实用新型专利：专利权人、发明人获得1项积40分。多人共有专利的，专利权人、发明人所得分数按40/（人数+1）计算，如为第一专利人（专利权人、发明人）的，加计一份平均分，即得分再“乘以2”。专利权人和发明人为同一人不重复计分，多项可累计积分。</w:t>
            </w:r>
          </w:p>
        </w:tc>
        <w:tc>
          <w:tcPr>
            <w:tcW w:w="5375" w:type="dxa"/>
            <w:gridSpan w:val="3"/>
            <w:vMerge w:val="continue"/>
            <w:vAlign w:val="center"/>
          </w:tcPr>
          <w:p>
            <w:pPr>
              <w:widowControl/>
              <w:spacing w:line="31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1787" w:type="dxa"/>
            <w:vMerge w:val="continue"/>
            <w:vAlign w:val="center"/>
          </w:tcPr>
          <w:p>
            <w:pPr>
              <w:widowControl/>
              <w:spacing w:line="280" w:lineRule="exact"/>
              <w:jc w:val="center"/>
              <w:rPr>
                <w:rFonts w:hint="eastAsia" w:hAnsi="宋体" w:cs="宋体"/>
                <w:color w:val="000000"/>
                <w:kern w:val="0"/>
                <w:sz w:val="21"/>
                <w:szCs w:val="21"/>
              </w:rPr>
            </w:pPr>
          </w:p>
        </w:tc>
        <w:tc>
          <w:tcPr>
            <w:tcW w:w="6233" w:type="dxa"/>
            <w:gridSpan w:val="8"/>
            <w:vAlign w:val="top"/>
          </w:tcPr>
          <w:p>
            <w:pPr>
              <w:widowControl/>
              <w:spacing w:line="310" w:lineRule="exact"/>
              <w:jc w:val="both"/>
              <w:rPr>
                <w:rFonts w:hint="eastAsia" w:hAnsi="宋体" w:cs="宋体"/>
                <w:color w:val="000000"/>
                <w:kern w:val="0"/>
                <w:sz w:val="21"/>
                <w:szCs w:val="21"/>
              </w:rPr>
            </w:pPr>
            <w:r>
              <w:rPr>
                <w:rFonts w:hint="eastAsia" w:hAnsi="宋体" w:cs="宋体"/>
                <w:color w:val="000000"/>
                <w:kern w:val="0"/>
                <w:sz w:val="21"/>
                <w:szCs w:val="21"/>
              </w:rPr>
              <w:t>近5年内获得外观设计专利：专利权人、发明人获得1项积20分。多人共有专利的，专利权人、发明人所得分数按20/（人数+1）计算，如为第一专利人（专利权人、发明人）的，加计一份平均分，即得分再“乘以2”。专利权人和发明人为同一人不重复计分，多项可累计积分。</w:t>
            </w:r>
          </w:p>
        </w:tc>
        <w:tc>
          <w:tcPr>
            <w:tcW w:w="5375" w:type="dxa"/>
            <w:gridSpan w:val="3"/>
            <w:vMerge w:val="continue"/>
            <w:vAlign w:val="center"/>
          </w:tcPr>
          <w:p>
            <w:pPr>
              <w:widowControl/>
              <w:spacing w:line="31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1787" w:type="dxa"/>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rPr>
              <w:t>表彰奖励积分</w:t>
            </w:r>
          </w:p>
        </w:tc>
        <w:tc>
          <w:tcPr>
            <w:tcW w:w="6233" w:type="dxa"/>
            <w:gridSpan w:val="8"/>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rPr>
              <w:t>在佛山市工作生活期间获得县处级党委、政府表彰奖励的每次积10分，最高不超过20分；获得地厅级党委、政府表彰奖励的每次积20分，最高不超过40分；获得省部级以上党委、政府表彰奖励的每次积40分，最高不超过80分。我市镇（街道）党委（党工委）表彰奖励按县处级级别积分。以上不同级别表彰奖励分值可累计积分。</w:t>
            </w:r>
          </w:p>
        </w:tc>
        <w:tc>
          <w:tcPr>
            <w:tcW w:w="5375" w:type="dxa"/>
            <w:gridSpan w:val="3"/>
            <w:vMerge w:val="restart"/>
            <w:vAlign w:val="center"/>
          </w:tcPr>
          <w:p>
            <w:pPr>
              <w:widowControl/>
              <w:spacing w:line="310" w:lineRule="exact"/>
              <w:jc w:val="center"/>
              <w:rPr>
                <w:rFonts w:hint="eastAsia" w:ascii="宋体" w:hAnsi="宋体" w:eastAsia="宋体" w:cs="宋体"/>
                <w:color w:val="000000"/>
                <w:kern w:val="0"/>
                <w:sz w:val="21"/>
                <w:szCs w:val="21"/>
              </w:rPr>
            </w:pPr>
            <w:r>
              <w:rPr>
                <w:rFonts w:hint="eastAsia" w:ascii="宋体" w:hAnsi="宋体" w:eastAsia="宋体" w:cs="宋体"/>
                <w:color w:val="auto"/>
                <w:sz w:val="21"/>
                <w:szCs w:val="21"/>
              </w:rPr>
              <w:t>应提供表彰、获奖证书或荣誉证书原件及复印件，同时提供表彰文件或相关证明材料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1787" w:type="dxa"/>
            <w:vAlign w:val="center"/>
          </w:tcPr>
          <w:p>
            <w:pPr>
              <w:widowControl/>
              <w:spacing w:line="280" w:lineRule="exact"/>
              <w:jc w:val="center"/>
              <w:rPr>
                <w:rFonts w:hint="eastAsia" w:hAnsi="宋体" w:cs="宋体"/>
                <w:color w:val="000000"/>
                <w:kern w:val="0"/>
                <w:sz w:val="21"/>
                <w:szCs w:val="21"/>
              </w:rPr>
            </w:pPr>
            <w:r>
              <w:rPr>
                <w:rFonts w:hint="eastAsia" w:hAnsi="宋体" w:cs="宋体"/>
                <w:color w:val="000000"/>
                <w:kern w:val="0"/>
                <w:sz w:val="21"/>
                <w:szCs w:val="21"/>
              </w:rPr>
              <w:t>竞赛获奖积分</w:t>
            </w:r>
          </w:p>
        </w:tc>
        <w:tc>
          <w:tcPr>
            <w:tcW w:w="6233" w:type="dxa"/>
            <w:gridSpan w:val="8"/>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rPr>
              <w:t>个人近5年在广东省范围内，获得区级职业技能竞赛三等奖分值为60分，二等奖分值为65分，一等奖分值为75分；获得市级职业技能竞赛三等奖分值为80分，二等奖分值为85分，一等奖分值为95分；获得省级职业技能竞赛三等奖分值为100分，二等奖分值为110分，一等奖分值为120分；获得国家级职业技能竞赛三等奖分值为130分，二等奖分值为140分，一等奖分值为150分。可累积计分。</w:t>
            </w:r>
          </w:p>
        </w:tc>
        <w:tc>
          <w:tcPr>
            <w:tcW w:w="5375" w:type="dxa"/>
            <w:gridSpan w:val="3"/>
            <w:vMerge w:val="continue"/>
            <w:vAlign w:val="center"/>
          </w:tcPr>
          <w:p>
            <w:pPr>
              <w:widowControl/>
              <w:spacing w:line="31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787" w:type="dxa"/>
            <w:vMerge w:val="restart"/>
            <w:vAlign w:val="center"/>
          </w:tcPr>
          <w:p>
            <w:pPr>
              <w:widowControl/>
              <w:spacing w:line="300" w:lineRule="exact"/>
              <w:jc w:val="center"/>
              <w:rPr>
                <w:rFonts w:hint="eastAsia" w:hAnsi="宋体" w:cs="宋体"/>
                <w:color w:val="000000"/>
                <w:kern w:val="0"/>
                <w:sz w:val="21"/>
                <w:szCs w:val="21"/>
              </w:rPr>
            </w:pPr>
            <w:r>
              <w:rPr>
                <w:rFonts w:hint="eastAsia" w:hAnsi="宋体" w:cs="宋体"/>
                <w:color w:val="000000"/>
                <w:kern w:val="0"/>
                <w:sz w:val="21"/>
                <w:szCs w:val="21"/>
              </w:rPr>
              <w:t>投资</w:t>
            </w:r>
          </w:p>
          <w:p>
            <w:pPr>
              <w:widowControl/>
              <w:spacing w:line="280" w:lineRule="exact"/>
              <w:jc w:val="center"/>
              <w:rPr>
                <w:rFonts w:hint="eastAsia" w:hAnsi="宋体" w:cs="宋体"/>
                <w:color w:val="000000"/>
                <w:kern w:val="0"/>
                <w:sz w:val="21"/>
                <w:szCs w:val="21"/>
              </w:rPr>
            </w:pPr>
            <w:r>
              <w:rPr>
                <w:rFonts w:hint="eastAsia" w:hAnsi="宋体" w:cs="宋体"/>
                <w:color w:val="000000"/>
                <w:kern w:val="0"/>
                <w:sz w:val="21"/>
                <w:szCs w:val="21"/>
              </w:rPr>
              <w:t>纳税积分</w:t>
            </w:r>
          </w:p>
        </w:tc>
        <w:tc>
          <w:tcPr>
            <w:tcW w:w="6233" w:type="dxa"/>
            <w:gridSpan w:val="8"/>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rPr>
              <w:t>在我市投资设立个体工商户1年以上的积5分；设立个人独资企业、合伙企业1年以上的积10分；投资设立有限公司、股份有限公司等企业法人1年以上的积15分,以上不累加积分。</w:t>
            </w:r>
          </w:p>
        </w:tc>
        <w:tc>
          <w:tcPr>
            <w:tcW w:w="5375" w:type="dxa"/>
            <w:gridSpan w:val="3"/>
            <w:vAlign w:val="center"/>
          </w:tcPr>
          <w:p>
            <w:pPr>
              <w:widowControl/>
              <w:spacing w:line="310" w:lineRule="exact"/>
              <w:jc w:val="center"/>
              <w:rPr>
                <w:rFonts w:hint="eastAsia" w:ascii="宋体" w:hAnsi="宋体" w:eastAsia="宋体" w:cs="宋体"/>
                <w:color w:val="000000"/>
                <w:kern w:val="0"/>
                <w:sz w:val="21"/>
                <w:szCs w:val="21"/>
              </w:rPr>
            </w:pPr>
            <w:r>
              <w:rPr>
                <w:rFonts w:hint="eastAsia" w:ascii="宋体" w:hAnsi="宋体" w:eastAsia="宋体" w:cs="宋体"/>
                <w:color w:val="auto"/>
                <w:sz w:val="21"/>
                <w:szCs w:val="21"/>
              </w:rPr>
              <w:t>应提供工商营业执照、公司章程原件及复印件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787" w:type="dxa"/>
            <w:vMerge w:val="continue"/>
            <w:vAlign w:val="center"/>
          </w:tcPr>
          <w:p>
            <w:pPr>
              <w:widowControl/>
              <w:spacing w:line="280" w:lineRule="exact"/>
              <w:jc w:val="center"/>
              <w:rPr>
                <w:rFonts w:hint="eastAsia" w:hAnsi="宋体" w:cs="宋体"/>
                <w:color w:val="000000"/>
                <w:kern w:val="0"/>
                <w:sz w:val="21"/>
                <w:szCs w:val="21"/>
              </w:rPr>
            </w:pPr>
          </w:p>
        </w:tc>
        <w:tc>
          <w:tcPr>
            <w:tcW w:w="6233" w:type="dxa"/>
            <w:gridSpan w:val="8"/>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rPr>
              <w:t>近5年内（税款入库期），个人在我市累计缴纳个人所得税款每满500元积1分，累计缴纳除个人所得税外的其他税款每满10,000元积1分（个人缴纳的其他税款以经营实体中个人的出资比例计算）。</w:t>
            </w:r>
          </w:p>
        </w:tc>
        <w:tc>
          <w:tcPr>
            <w:tcW w:w="5375" w:type="dxa"/>
            <w:gridSpan w:val="3"/>
            <w:vAlign w:val="center"/>
          </w:tcPr>
          <w:p>
            <w:pPr>
              <w:widowControl/>
              <w:spacing w:line="310" w:lineRule="exact"/>
              <w:jc w:val="center"/>
              <w:rPr>
                <w:rFonts w:hint="eastAsia" w:ascii="宋体" w:hAnsi="宋体" w:eastAsia="宋体" w:cs="宋体"/>
                <w:color w:val="000000"/>
                <w:kern w:val="0"/>
                <w:sz w:val="21"/>
                <w:szCs w:val="21"/>
              </w:rPr>
            </w:pPr>
            <w:r>
              <w:rPr>
                <w:rFonts w:hint="eastAsia" w:ascii="宋体" w:hAnsi="宋体" w:eastAsia="宋体" w:cs="宋体"/>
                <w:color w:val="auto"/>
                <w:sz w:val="21"/>
                <w:szCs w:val="21"/>
              </w:rPr>
              <w:t>税务部门出具的纳税凭证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1787" w:type="dxa"/>
            <w:vMerge w:val="restart"/>
            <w:vAlign w:val="center"/>
          </w:tcPr>
          <w:p>
            <w:pPr>
              <w:widowControl/>
              <w:spacing w:line="280" w:lineRule="exact"/>
              <w:jc w:val="center"/>
              <w:rPr>
                <w:rFonts w:hint="eastAsia" w:hAnsi="宋体" w:cs="宋体"/>
                <w:color w:val="000000"/>
                <w:kern w:val="0"/>
                <w:sz w:val="21"/>
                <w:szCs w:val="21"/>
              </w:rPr>
            </w:pPr>
            <w:r>
              <w:rPr>
                <w:rFonts w:hint="eastAsia" w:hAnsi="宋体" w:cs="宋体"/>
                <w:kern w:val="0"/>
                <w:sz w:val="21"/>
                <w:szCs w:val="21"/>
              </w:rPr>
              <w:t>住房公积金缴交积分</w:t>
            </w:r>
          </w:p>
        </w:tc>
        <w:tc>
          <w:tcPr>
            <w:tcW w:w="4222" w:type="dxa"/>
            <w:gridSpan w:val="6"/>
            <w:vAlign w:val="center"/>
          </w:tcPr>
          <w:p>
            <w:pPr>
              <w:widowControl/>
              <w:spacing w:line="310" w:lineRule="exact"/>
              <w:jc w:val="left"/>
              <w:rPr>
                <w:rFonts w:hint="eastAsia" w:hAnsi="宋体" w:cs="宋体"/>
                <w:color w:val="000000"/>
                <w:kern w:val="0"/>
                <w:sz w:val="21"/>
                <w:szCs w:val="21"/>
              </w:rPr>
            </w:pPr>
            <w:r>
              <w:rPr>
                <w:rFonts w:hint="eastAsia" w:hAnsi="宋体" w:cs="宋体"/>
                <w:kern w:val="0"/>
                <w:sz w:val="21"/>
                <w:szCs w:val="21"/>
              </w:rPr>
              <w:t>在本市开立住房公积金账户的，积5分。</w:t>
            </w:r>
          </w:p>
        </w:tc>
        <w:tc>
          <w:tcPr>
            <w:tcW w:w="2012" w:type="dxa"/>
            <w:gridSpan w:val="3"/>
            <w:vMerge w:val="restart"/>
            <w:vAlign w:val="center"/>
          </w:tcPr>
          <w:p>
            <w:pPr>
              <w:widowControl/>
              <w:spacing w:line="310" w:lineRule="exact"/>
              <w:jc w:val="left"/>
              <w:rPr>
                <w:rFonts w:hint="eastAsia" w:hAnsi="宋体" w:cs="宋体"/>
                <w:kern w:val="0"/>
                <w:sz w:val="21"/>
                <w:szCs w:val="21"/>
              </w:rPr>
            </w:pPr>
            <w:r>
              <w:rPr>
                <w:rFonts w:hint="eastAsia" w:hAnsi="宋体" w:cs="宋体"/>
                <w:kern w:val="0"/>
                <w:sz w:val="21"/>
                <w:szCs w:val="21"/>
              </w:rPr>
              <w:t>两项最高可计50分。</w:t>
            </w:r>
          </w:p>
        </w:tc>
        <w:tc>
          <w:tcPr>
            <w:tcW w:w="5374" w:type="dxa"/>
            <w:gridSpan w:val="2"/>
            <w:vMerge w:val="restart"/>
            <w:vAlign w:val="center"/>
          </w:tcPr>
          <w:p>
            <w:pPr>
              <w:widowControl/>
              <w:spacing w:line="310" w:lineRule="exact"/>
              <w:jc w:val="center"/>
              <w:rPr>
                <w:rFonts w:hint="eastAsia" w:ascii="宋体" w:hAnsi="宋体" w:eastAsia="宋体" w:cs="宋体"/>
                <w:color w:val="000000"/>
                <w:kern w:val="0"/>
                <w:sz w:val="21"/>
                <w:szCs w:val="21"/>
              </w:rPr>
            </w:pPr>
            <w:r>
              <w:rPr>
                <w:rFonts w:hint="eastAsia" w:ascii="宋体" w:hAnsi="宋体" w:eastAsia="宋体" w:cs="宋体"/>
                <w:color w:val="auto"/>
                <w:sz w:val="21"/>
                <w:szCs w:val="21"/>
              </w:rPr>
              <w:t>应提供住房公积金对账簿（含原住房公积金专用存折）及复印件</w:t>
            </w:r>
            <w:r>
              <w:rPr>
                <w:rFonts w:hint="eastAsia" w:ascii="宋体" w:hAnsi="宋体" w:eastAsia="宋体" w:cs="宋体"/>
                <w:color w:val="auto"/>
                <w:sz w:val="21"/>
                <w:szCs w:val="21"/>
                <w:lang w:eastAsia="zh-CN"/>
              </w:rPr>
              <w:t>，或通过自助终端打印的公积金缴存记录原件。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787" w:type="dxa"/>
            <w:vMerge w:val="continue"/>
            <w:vAlign w:val="center"/>
          </w:tcPr>
          <w:p>
            <w:pPr>
              <w:widowControl/>
              <w:spacing w:line="280" w:lineRule="exact"/>
              <w:jc w:val="center"/>
              <w:rPr>
                <w:rFonts w:hint="eastAsia" w:hAnsi="宋体" w:cs="宋体"/>
                <w:color w:val="000000"/>
                <w:kern w:val="0"/>
                <w:sz w:val="21"/>
                <w:szCs w:val="21"/>
              </w:rPr>
            </w:pPr>
          </w:p>
        </w:tc>
        <w:tc>
          <w:tcPr>
            <w:tcW w:w="4222" w:type="dxa"/>
            <w:gridSpan w:val="6"/>
            <w:vAlign w:val="center"/>
          </w:tcPr>
          <w:p>
            <w:pPr>
              <w:widowControl/>
              <w:spacing w:line="310" w:lineRule="exact"/>
              <w:jc w:val="left"/>
              <w:rPr>
                <w:rFonts w:hint="eastAsia" w:hAnsi="宋体" w:cs="宋体"/>
                <w:color w:val="000000"/>
                <w:kern w:val="0"/>
                <w:sz w:val="21"/>
                <w:szCs w:val="21"/>
              </w:rPr>
            </w:pPr>
            <w:r>
              <w:rPr>
                <w:rFonts w:hint="eastAsia" w:hAnsi="宋体" w:cs="宋体"/>
                <w:kern w:val="0"/>
                <w:sz w:val="21"/>
                <w:szCs w:val="21"/>
              </w:rPr>
              <w:t>在本市按月缴交住房公积金的，每缴交1年积5分</w:t>
            </w:r>
            <w:r>
              <w:rPr>
                <w:rFonts w:hint="eastAsia"/>
                <w:szCs w:val="32"/>
              </w:rPr>
              <w:t>。</w:t>
            </w:r>
          </w:p>
        </w:tc>
        <w:tc>
          <w:tcPr>
            <w:tcW w:w="2012" w:type="dxa"/>
            <w:gridSpan w:val="3"/>
            <w:vMerge w:val="continue"/>
            <w:vAlign w:val="center"/>
          </w:tcPr>
          <w:p>
            <w:pPr>
              <w:widowControl/>
              <w:spacing w:line="310" w:lineRule="exact"/>
              <w:jc w:val="left"/>
              <w:rPr>
                <w:rFonts w:hint="eastAsia" w:hAnsi="宋体" w:cs="宋体"/>
                <w:kern w:val="0"/>
                <w:sz w:val="21"/>
                <w:szCs w:val="21"/>
              </w:rPr>
            </w:pPr>
          </w:p>
        </w:tc>
        <w:tc>
          <w:tcPr>
            <w:tcW w:w="5374" w:type="dxa"/>
            <w:gridSpan w:val="2"/>
            <w:vMerge w:val="continue"/>
            <w:vAlign w:val="center"/>
          </w:tcPr>
          <w:p>
            <w:pPr>
              <w:widowControl/>
              <w:spacing w:line="31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787" w:type="dxa"/>
            <w:vAlign w:val="center"/>
          </w:tcPr>
          <w:p>
            <w:pPr>
              <w:widowControl/>
              <w:spacing w:line="310" w:lineRule="exact"/>
              <w:jc w:val="center"/>
              <w:rPr>
                <w:rFonts w:hint="eastAsia" w:hAnsi="宋体" w:cs="宋体" w:eastAsiaTheme="minorEastAsia"/>
                <w:color w:val="000000"/>
                <w:kern w:val="0"/>
                <w:sz w:val="21"/>
                <w:szCs w:val="21"/>
                <w:lang w:eastAsia="zh-CN"/>
              </w:rPr>
            </w:pPr>
            <w:r>
              <w:rPr>
                <w:rFonts w:hint="eastAsia" w:hAnsi="宋体" w:cs="宋体"/>
                <w:color w:val="000000"/>
                <w:kern w:val="0"/>
                <w:sz w:val="21"/>
                <w:szCs w:val="21"/>
                <w:lang w:eastAsia="zh-CN"/>
              </w:rPr>
              <w:t>社会贡献（社会活动）积分</w:t>
            </w:r>
          </w:p>
        </w:tc>
        <w:tc>
          <w:tcPr>
            <w:tcW w:w="6234" w:type="dxa"/>
            <w:gridSpan w:val="9"/>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lang w:eastAsia="zh-CN"/>
              </w:rPr>
              <w:t>近</w:t>
            </w:r>
            <w:r>
              <w:rPr>
                <w:rFonts w:hint="eastAsia" w:hAnsi="宋体" w:cs="宋体"/>
                <w:color w:val="000000"/>
                <w:kern w:val="0"/>
                <w:sz w:val="21"/>
                <w:szCs w:val="21"/>
                <w:lang w:val="en-US" w:eastAsia="zh-CN"/>
              </w:rPr>
              <w:t>5年</w:t>
            </w:r>
            <w:r>
              <w:rPr>
                <w:rFonts w:hint="eastAsia" w:hAnsi="宋体" w:cs="宋体"/>
                <w:color w:val="000000"/>
                <w:kern w:val="0"/>
                <w:sz w:val="21"/>
                <w:szCs w:val="21"/>
              </w:rPr>
              <w:t>在本市内参加志愿者</w:t>
            </w:r>
            <w:r>
              <w:rPr>
                <w:rFonts w:hint="eastAsia" w:hAnsi="宋体" w:cs="宋体"/>
                <w:color w:val="000000"/>
                <w:kern w:val="0"/>
                <w:sz w:val="21"/>
                <w:szCs w:val="21"/>
                <w:lang w:eastAsia="zh-CN"/>
              </w:rPr>
              <w:t>或新市民办组织的</w:t>
            </w:r>
            <w:r>
              <w:rPr>
                <w:rFonts w:hint="eastAsia" w:hAnsi="宋体" w:cs="宋体"/>
                <w:color w:val="000000"/>
                <w:kern w:val="0"/>
                <w:sz w:val="21"/>
                <w:szCs w:val="21"/>
              </w:rPr>
              <w:t>社会活动</w:t>
            </w:r>
            <w:r>
              <w:rPr>
                <w:rFonts w:hint="eastAsia" w:hAnsi="宋体" w:cs="宋体"/>
                <w:color w:val="000000"/>
                <w:kern w:val="0"/>
                <w:sz w:val="21"/>
                <w:szCs w:val="21"/>
                <w:lang w:eastAsia="zh-CN"/>
              </w:rPr>
              <w:t>，</w:t>
            </w:r>
            <w:r>
              <w:rPr>
                <w:rFonts w:hint="eastAsia" w:hAnsi="宋体" w:cs="宋体"/>
                <w:color w:val="000000"/>
                <w:kern w:val="0"/>
                <w:sz w:val="21"/>
                <w:szCs w:val="21"/>
              </w:rPr>
              <w:t>每满5小时积1分，最高可计60分。</w:t>
            </w:r>
          </w:p>
        </w:tc>
        <w:tc>
          <w:tcPr>
            <w:tcW w:w="5374" w:type="dxa"/>
            <w:gridSpan w:val="2"/>
            <w:vAlign w:val="center"/>
          </w:tcPr>
          <w:p>
            <w:pPr>
              <w:widowControl/>
              <w:spacing w:line="310" w:lineRule="exact"/>
              <w:jc w:val="center"/>
              <w:rPr>
                <w:rFonts w:hint="eastAsia" w:ascii="宋体" w:hAnsi="宋体" w:eastAsia="宋体" w:cs="宋体"/>
                <w:color w:val="000000"/>
                <w:kern w:val="0"/>
                <w:sz w:val="21"/>
                <w:szCs w:val="21"/>
              </w:rPr>
            </w:pPr>
            <w:r>
              <w:rPr>
                <w:rFonts w:hint="eastAsia" w:ascii="宋体" w:hAnsi="宋体" w:eastAsia="宋体" w:cs="宋体"/>
                <w:color w:val="auto"/>
                <w:sz w:val="21"/>
                <w:szCs w:val="21"/>
                <w:lang w:eastAsia="zh-CN"/>
              </w:rPr>
              <w:t>应提供“时间证书”和“服务时间明细”原件及复印件。申请人可自行登陆微信进入“粤省事”小程序，下拉找到“志愿服务”，进入“个人中心”下载“时间证书”和“服务时间明细”并打印出来提交。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787" w:type="dxa"/>
            <w:vMerge w:val="restart"/>
            <w:vAlign w:val="center"/>
          </w:tcPr>
          <w:p>
            <w:pPr>
              <w:widowControl/>
              <w:spacing w:line="310" w:lineRule="exact"/>
              <w:jc w:val="center"/>
              <w:rPr>
                <w:rFonts w:hint="eastAsia" w:hAnsi="宋体" w:cs="宋体" w:eastAsiaTheme="minorEastAsia"/>
                <w:color w:val="000000"/>
                <w:kern w:val="0"/>
                <w:sz w:val="21"/>
                <w:szCs w:val="21"/>
                <w:lang w:eastAsia="zh-CN"/>
              </w:rPr>
            </w:pPr>
            <w:r>
              <w:rPr>
                <w:rFonts w:hint="eastAsia" w:hAnsi="宋体" w:cs="宋体"/>
                <w:color w:val="000000"/>
                <w:kern w:val="0"/>
                <w:sz w:val="21"/>
                <w:szCs w:val="21"/>
                <w:lang w:eastAsia="zh-CN"/>
              </w:rPr>
              <w:t>社会贡献（献血及骨髓捐献）积分</w:t>
            </w:r>
          </w:p>
        </w:tc>
        <w:tc>
          <w:tcPr>
            <w:tcW w:w="6234" w:type="dxa"/>
            <w:gridSpan w:val="9"/>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rPr>
              <w:t>无偿献血行为发生在本市的无偿献血者并在本市成为中华骨髓库捐献志愿者积10分，成功实现骨髓（造血干细胞）捐献积80分。可累积计分。</w:t>
            </w:r>
          </w:p>
        </w:tc>
        <w:tc>
          <w:tcPr>
            <w:tcW w:w="5374" w:type="dxa"/>
            <w:gridSpan w:val="2"/>
            <w:vAlign w:val="center"/>
          </w:tcPr>
          <w:p>
            <w:pPr>
              <w:widowControl/>
              <w:spacing w:line="310" w:lineRule="exact"/>
              <w:jc w:val="center"/>
              <w:rPr>
                <w:rFonts w:hint="eastAsia" w:ascii="宋体" w:hAnsi="宋体" w:eastAsia="宋体" w:cs="宋体"/>
                <w:color w:val="000000"/>
                <w:kern w:val="0"/>
                <w:sz w:val="21"/>
                <w:szCs w:val="21"/>
              </w:rPr>
            </w:pPr>
            <w:r>
              <w:rPr>
                <w:rFonts w:hint="eastAsia" w:ascii="宋体" w:hAnsi="宋体" w:eastAsia="宋体" w:cs="宋体"/>
                <w:color w:val="121212"/>
                <w:sz w:val="21"/>
                <w:szCs w:val="21"/>
                <w:shd w:val="clear" w:color="auto" w:fill="FFFFFF"/>
              </w:rPr>
              <w:t>佛山市中华骨髓库捐献志愿者的证书或证明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1787" w:type="dxa"/>
            <w:vMerge w:val="continue"/>
            <w:vAlign w:val="center"/>
          </w:tcPr>
          <w:p>
            <w:pPr>
              <w:widowControl/>
              <w:spacing w:line="310" w:lineRule="exact"/>
              <w:jc w:val="left"/>
            </w:pPr>
          </w:p>
        </w:tc>
        <w:tc>
          <w:tcPr>
            <w:tcW w:w="6234" w:type="dxa"/>
            <w:gridSpan w:val="9"/>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lang w:eastAsia="zh-CN"/>
              </w:rPr>
              <w:t>近</w:t>
            </w:r>
            <w:r>
              <w:rPr>
                <w:rFonts w:hint="eastAsia" w:hAnsi="宋体" w:cs="宋体"/>
                <w:color w:val="000000"/>
                <w:kern w:val="0"/>
                <w:sz w:val="21"/>
                <w:szCs w:val="21"/>
                <w:lang w:val="en-US" w:eastAsia="zh-CN"/>
              </w:rPr>
              <w:t>5年</w:t>
            </w:r>
            <w:r>
              <w:rPr>
                <w:rFonts w:hint="eastAsia" w:hAnsi="宋体" w:cs="宋体"/>
                <w:color w:val="000000"/>
                <w:kern w:val="0"/>
                <w:sz w:val="21"/>
                <w:szCs w:val="21"/>
              </w:rPr>
              <w:t>在本市内无偿献血每满200毫升或献单采血小板1个治疗量积5分，最高可计60分。</w:t>
            </w:r>
          </w:p>
        </w:tc>
        <w:tc>
          <w:tcPr>
            <w:tcW w:w="537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_GB2312" w:hAnsi="仿宋_GB2312" w:eastAsia="仿宋_GB2312" w:cs="仿宋_GB2312"/>
                <w:b/>
                <w:bCs/>
                <w:color w:val="auto"/>
                <w:sz w:val="21"/>
                <w:szCs w:val="21"/>
                <w:lang w:eastAsia="zh-CN"/>
              </w:rPr>
            </w:pPr>
            <w:r>
              <w:rPr>
                <w:rFonts w:hint="eastAsia" w:ascii="宋体" w:hAnsi="宋体" w:eastAsia="宋体" w:cs="宋体"/>
                <w:color w:val="auto"/>
                <w:sz w:val="21"/>
                <w:szCs w:val="21"/>
              </w:rPr>
              <w:t>应</w:t>
            </w:r>
            <w:r>
              <w:rPr>
                <w:rFonts w:hint="eastAsia" w:ascii="宋体" w:hAnsi="宋体" w:eastAsia="宋体" w:cs="宋体"/>
                <w:color w:val="auto"/>
                <w:sz w:val="21"/>
                <w:szCs w:val="21"/>
                <w:lang w:eastAsia="zh-CN"/>
              </w:rPr>
              <w:t>提供卫健部门已核定积分的</w:t>
            </w:r>
            <w:r>
              <w:rPr>
                <w:rFonts w:hint="eastAsia" w:ascii="宋体" w:hAnsi="宋体" w:eastAsia="宋体" w:cs="宋体"/>
                <w:b/>
                <w:bCs/>
                <w:color w:val="auto"/>
                <w:sz w:val="21"/>
                <w:szCs w:val="21"/>
              </w:rPr>
              <w:t>《佛山市新市民积分制服务管理卫生</w:t>
            </w:r>
            <w:r>
              <w:rPr>
                <w:rFonts w:hint="eastAsia" w:ascii="宋体" w:hAnsi="宋体" w:eastAsia="宋体" w:cs="宋体"/>
                <w:b/>
                <w:bCs/>
                <w:color w:val="auto"/>
                <w:sz w:val="21"/>
                <w:szCs w:val="21"/>
                <w:lang w:eastAsia="zh-CN"/>
              </w:rPr>
              <w:t>健康</w:t>
            </w:r>
            <w:r>
              <w:rPr>
                <w:rFonts w:hint="eastAsia" w:ascii="宋体" w:hAnsi="宋体" w:eastAsia="宋体" w:cs="宋体"/>
                <w:b/>
                <w:bCs/>
                <w:color w:val="auto"/>
                <w:sz w:val="21"/>
                <w:szCs w:val="21"/>
              </w:rPr>
              <w:t>积分承诺表》</w:t>
            </w:r>
            <w:r>
              <w:rPr>
                <w:rFonts w:hint="eastAsia" w:ascii="宋体" w:hAnsi="宋体" w:eastAsia="宋体" w:cs="宋体"/>
                <w:b/>
                <w:bCs/>
                <w:color w:val="auto"/>
                <w:sz w:val="21"/>
                <w:szCs w:val="21"/>
                <w:lang w:eastAsia="zh-CN"/>
              </w:rPr>
              <w:t>。</w:t>
            </w:r>
            <w:r>
              <w:rPr>
                <w:rFonts w:hint="eastAsia" w:ascii="宋体" w:hAnsi="宋体" w:eastAsia="宋体" w:cs="宋体"/>
                <w:b w:val="0"/>
                <w:bCs w:val="0"/>
                <w:color w:val="auto"/>
                <w:sz w:val="21"/>
                <w:szCs w:val="21"/>
                <w:lang w:eastAsia="zh-CN"/>
              </w:rPr>
              <w:t>表格可到镇</w:t>
            </w:r>
            <w:r>
              <w:rPr>
                <w:rFonts w:hint="eastAsia" w:ascii="宋体" w:hAnsi="宋体" w:eastAsia="宋体" w:cs="宋体"/>
                <w:sz w:val="21"/>
                <w:szCs w:val="21"/>
              </w:rPr>
              <w:t>（街道）卫健部门、村（居）委领取</w:t>
            </w:r>
            <w:r>
              <w:rPr>
                <w:rFonts w:hint="eastAsia" w:ascii="宋体" w:hAnsi="宋体" w:eastAsia="宋体" w:cs="宋体"/>
                <w:sz w:val="21"/>
                <w:szCs w:val="21"/>
                <w:lang w:eastAsia="zh-CN"/>
              </w:rPr>
              <w:t>，并按指引办理评分。</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详询各镇街卫健部门：</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eastAsia="zh-CN"/>
              </w:rPr>
              <w:t>西南街道</w:t>
            </w:r>
            <w:r>
              <w:rPr>
                <w:rFonts w:hint="eastAsia" w:ascii="宋体" w:hAnsi="宋体" w:eastAsia="宋体" w:cs="宋体"/>
                <w:b/>
                <w:bCs/>
                <w:color w:val="auto"/>
                <w:sz w:val="21"/>
                <w:szCs w:val="21"/>
                <w:lang w:val="en-US" w:eastAsia="zh-CN"/>
              </w:rPr>
              <w:t xml:space="preserve"> 87618789 87618962</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云东海街道 86162653 88527669</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白坭镇 87563020</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乐平镇 87388594</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芦苞镇 87233390</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大塘镇 87293371</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南山镇 87219135</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auto"/>
                <w:sz w:val="21"/>
                <w:szCs w:val="21"/>
              </w:rPr>
            </w:pPr>
          </w:p>
          <w:p>
            <w:pPr>
              <w:widowControl/>
              <w:spacing w:line="310" w:lineRule="exact"/>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787" w:type="dxa"/>
            <w:vMerge w:val="restart"/>
            <w:vAlign w:val="center"/>
          </w:tcPr>
          <w:p>
            <w:pPr>
              <w:widowControl/>
              <w:spacing w:line="310" w:lineRule="exact"/>
              <w:jc w:val="center"/>
              <w:rPr>
                <w:rFonts w:hint="eastAsia" w:hAnsi="宋体" w:cs="宋体"/>
                <w:color w:val="000000"/>
                <w:kern w:val="0"/>
                <w:sz w:val="21"/>
                <w:szCs w:val="21"/>
              </w:rPr>
            </w:pPr>
            <w:r>
              <w:rPr>
                <w:rFonts w:hint="eastAsia" w:hAnsi="宋体" w:cs="宋体"/>
                <w:color w:val="000000"/>
                <w:kern w:val="0"/>
                <w:sz w:val="21"/>
                <w:szCs w:val="21"/>
              </w:rPr>
              <w:t>卫生</w:t>
            </w:r>
            <w:r>
              <w:rPr>
                <w:rFonts w:hint="eastAsia" w:hAnsi="宋体" w:cs="宋体"/>
                <w:color w:val="000000"/>
                <w:kern w:val="0"/>
                <w:sz w:val="21"/>
                <w:szCs w:val="21"/>
              </w:rPr>
              <w:br w:type="textWrapping"/>
            </w:r>
            <w:r>
              <w:rPr>
                <w:rFonts w:hint="eastAsia" w:hAnsi="宋体" w:cs="宋体"/>
                <w:color w:val="000000"/>
                <w:kern w:val="0"/>
                <w:sz w:val="21"/>
                <w:szCs w:val="21"/>
              </w:rPr>
              <w:t>防疫积分</w:t>
            </w:r>
          </w:p>
        </w:tc>
        <w:tc>
          <w:tcPr>
            <w:tcW w:w="6234" w:type="dxa"/>
            <w:gridSpan w:val="9"/>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rPr>
              <w:t>持《儿童预防接种证》，按照预防接种程序参加疫苗接种，并到现居住地预防接种门诊办理转入、转出手续者积5分。</w:t>
            </w:r>
          </w:p>
        </w:tc>
        <w:tc>
          <w:tcPr>
            <w:tcW w:w="5374" w:type="dxa"/>
            <w:gridSpan w:val="2"/>
            <w:vMerge w:val="continue"/>
            <w:vAlign w:val="center"/>
          </w:tcPr>
          <w:p>
            <w:pPr>
              <w:widowControl/>
              <w:spacing w:line="310" w:lineRule="exact"/>
              <w:jc w:val="center"/>
              <w:rPr>
                <w:rFonts w:hint="eastAsia"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787" w:type="dxa"/>
            <w:vMerge w:val="continue"/>
            <w:vAlign w:val="center"/>
          </w:tcPr>
          <w:p>
            <w:pPr>
              <w:widowControl/>
              <w:spacing w:line="310" w:lineRule="exact"/>
              <w:jc w:val="left"/>
              <w:rPr>
                <w:rFonts w:hint="eastAsia" w:hAnsi="宋体" w:cs="宋体"/>
                <w:color w:val="000000"/>
                <w:kern w:val="0"/>
                <w:sz w:val="21"/>
                <w:szCs w:val="21"/>
              </w:rPr>
            </w:pPr>
          </w:p>
        </w:tc>
        <w:tc>
          <w:tcPr>
            <w:tcW w:w="6234" w:type="dxa"/>
            <w:gridSpan w:val="9"/>
            <w:vAlign w:val="center"/>
          </w:tcPr>
          <w:p>
            <w:pPr>
              <w:widowControl/>
              <w:spacing w:line="310" w:lineRule="exact"/>
              <w:jc w:val="left"/>
              <w:rPr>
                <w:rFonts w:hint="eastAsia" w:hAnsi="宋体" w:cs="宋体"/>
                <w:color w:val="000000"/>
                <w:kern w:val="0"/>
                <w:sz w:val="21"/>
                <w:szCs w:val="21"/>
              </w:rPr>
            </w:pPr>
            <w:r>
              <w:rPr>
                <w:rFonts w:hint="eastAsia" w:hAnsi="宋体" w:cs="宋体"/>
                <w:color w:val="000000"/>
                <w:kern w:val="0"/>
                <w:sz w:val="21"/>
                <w:szCs w:val="21"/>
              </w:rPr>
              <w:t>申请人及其配偶婚前自愿参加婚检或自愿参加孕前优生健康检查者积5分。</w:t>
            </w:r>
          </w:p>
        </w:tc>
        <w:tc>
          <w:tcPr>
            <w:tcW w:w="5374" w:type="dxa"/>
            <w:gridSpan w:val="2"/>
            <w:vMerge w:val="continue"/>
            <w:vAlign w:val="center"/>
          </w:tcPr>
          <w:p>
            <w:pPr>
              <w:widowControl/>
              <w:spacing w:line="310" w:lineRule="exact"/>
              <w:jc w:val="center"/>
              <w:rPr>
                <w:rFonts w:hint="eastAsia"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787" w:type="dxa"/>
            <w:vMerge w:val="restart"/>
            <w:vAlign w:val="center"/>
          </w:tcPr>
          <w:p>
            <w:pPr>
              <w:widowControl/>
              <w:spacing w:line="280" w:lineRule="exact"/>
              <w:jc w:val="center"/>
              <w:rPr>
                <w:rFonts w:hint="eastAsia" w:hAnsi="宋体" w:cs="宋体"/>
                <w:color w:val="000000"/>
                <w:kern w:val="0"/>
                <w:sz w:val="21"/>
                <w:szCs w:val="21"/>
              </w:rPr>
            </w:pPr>
            <w:r>
              <w:rPr>
                <w:rFonts w:hint="eastAsia" w:hAnsi="宋体" w:cs="宋体"/>
                <w:kern w:val="0"/>
                <w:sz w:val="21"/>
                <w:szCs w:val="21"/>
              </w:rPr>
              <w:t>计划生育积分</w:t>
            </w:r>
          </w:p>
        </w:tc>
        <w:tc>
          <w:tcPr>
            <w:tcW w:w="6234" w:type="dxa"/>
            <w:gridSpan w:val="9"/>
            <w:vAlign w:val="center"/>
          </w:tcPr>
          <w:p>
            <w:pPr>
              <w:widowControl/>
              <w:spacing w:line="310" w:lineRule="exact"/>
              <w:jc w:val="left"/>
              <w:rPr>
                <w:rFonts w:hint="eastAsia" w:hAnsi="宋体" w:cs="宋体"/>
                <w:color w:val="000000"/>
                <w:kern w:val="0"/>
                <w:sz w:val="21"/>
                <w:szCs w:val="21"/>
              </w:rPr>
            </w:pPr>
            <w:r>
              <w:rPr>
                <w:rFonts w:hint="eastAsia" w:hAnsi="宋体" w:cs="宋体"/>
                <w:kern w:val="0"/>
                <w:sz w:val="21"/>
                <w:szCs w:val="21"/>
              </w:rPr>
              <w:t>申请人或其配偶办理了户籍地核发的国家统一格式的《流动人口婚育证明》（含全国统一的电子婚育证明）或《广东省计划生育服务证》（含电子证明），到达我市后按照有关办法在居住地卫生计生部门进行验证，并按照证件的管理年限及时换证，积5分。</w:t>
            </w:r>
          </w:p>
        </w:tc>
        <w:tc>
          <w:tcPr>
            <w:tcW w:w="5374" w:type="dxa"/>
            <w:gridSpan w:val="2"/>
            <w:vMerge w:val="continue"/>
            <w:vAlign w:val="center"/>
          </w:tcPr>
          <w:p>
            <w:pPr>
              <w:widowControl/>
              <w:spacing w:line="310" w:lineRule="exact"/>
              <w:jc w:val="center"/>
              <w:rPr>
                <w:rFonts w:hint="eastAsia"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005" w:hRule="atLeast"/>
          <w:jc w:val="center"/>
        </w:trPr>
        <w:tc>
          <w:tcPr>
            <w:tcW w:w="1787" w:type="dxa"/>
            <w:vMerge w:val="continue"/>
            <w:vAlign w:val="center"/>
          </w:tcPr>
          <w:p>
            <w:pPr>
              <w:widowControl/>
              <w:spacing w:line="280" w:lineRule="exact"/>
              <w:jc w:val="center"/>
              <w:rPr>
                <w:rFonts w:hint="eastAsia" w:hAnsi="宋体" w:cs="宋体"/>
                <w:color w:val="000000"/>
                <w:kern w:val="0"/>
                <w:sz w:val="21"/>
                <w:szCs w:val="21"/>
              </w:rPr>
            </w:pPr>
          </w:p>
        </w:tc>
        <w:tc>
          <w:tcPr>
            <w:tcW w:w="6234" w:type="dxa"/>
            <w:gridSpan w:val="9"/>
            <w:vAlign w:val="center"/>
          </w:tcPr>
          <w:p>
            <w:pPr>
              <w:widowControl/>
              <w:spacing w:line="310" w:lineRule="exact"/>
              <w:jc w:val="left"/>
              <w:rPr>
                <w:rFonts w:hint="eastAsia" w:hAnsi="宋体" w:cs="宋体"/>
                <w:kern w:val="0"/>
                <w:sz w:val="21"/>
                <w:szCs w:val="21"/>
                <w:highlight w:val="none"/>
              </w:rPr>
            </w:pPr>
            <w:r>
              <w:rPr>
                <w:rFonts w:hint="eastAsia" w:hAnsi="宋体" w:cs="宋体"/>
                <w:kern w:val="0"/>
                <w:sz w:val="21"/>
                <w:szCs w:val="21"/>
                <w:highlight w:val="none"/>
              </w:rPr>
              <w:t>如实填报</w:t>
            </w:r>
            <w:r>
              <w:rPr>
                <w:rFonts w:hint="eastAsia" w:hAnsi="宋体" w:cs="宋体"/>
                <w:color w:val="auto"/>
                <w:kern w:val="0"/>
                <w:sz w:val="21"/>
                <w:szCs w:val="21"/>
                <w:highlight w:val="none"/>
              </w:rPr>
              <w:t>《佛山市新市民积分制服务管理卫生健康积分承诺表》</w:t>
            </w:r>
            <w:r>
              <w:rPr>
                <w:rFonts w:hint="eastAsia" w:hAnsi="宋体" w:cs="宋体"/>
                <w:kern w:val="0"/>
                <w:sz w:val="21"/>
                <w:szCs w:val="21"/>
                <w:highlight w:val="none"/>
              </w:rPr>
              <w:t>的积5分。在该表中能够加具申请人及其配偶户籍地（乡镇街道）卫生计生部门审核意见的，额外奖励10分。不能提供的本项不加奖励分，但不影响其他积分。</w:t>
            </w:r>
          </w:p>
        </w:tc>
        <w:tc>
          <w:tcPr>
            <w:tcW w:w="5367" w:type="dxa"/>
            <w:vAlign w:val="center"/>
          </w:tcPr>
          <w:p>
            <w:pPr>
              <w:widowControl/>
              <w:spacing w:line="310" w:lineRule="exact"/>
              <w:jc w:val="center"/>
              <w:rPr>
                <w:rFonts w:hint="eastAsia"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46" w:hRule="atLeast"/>
          <w:jc w:val="center"/>
        </w:trPr>
        <w:tc>
          <w:tcPr>
            <w:tcW w:w="13388" w:type="dxa"/>
            <w:gridSpan w:val="11"/>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10" w:lineRule="exact"/>
              <w:ind w:left="0" w:leftChars="0" w:right="0" w:rightChars="0" w:firstLine="420" w:firstLineChars="200"/>
              <w:jc w:val="both"/>
              <w:textAlignment w:val="auto"/>
              <w:outlineLvl w:val="9"/>
              <w:rPr>
                <w:rFonts w:hint="eastAsia" w:hAnsi="宋体" w:cs="宋体" w:eastAsiaTheme="minorEastAsia"/>
                <w:color w:val="000000"/>
                <w:kern w:val="0"/>
                <w:sz w:val="21"/>
                <w:szCs w:val="21"/>
                <w:lang w:eastAsia="zh-CN"/>
              </w:rPr>
            </w:pPr>
            <w:r>
              <w:rPr>
                <w:rFonts w:hint="eastAsia" w:ascii="黑体" w:hAnsi="黑体" w:eastAsia="黑体" w:cs="黑体"/>
                <w:color w:val="000000"/>
                <w:kern w:val="0"/>
                <w:sz w:val="21"/>
                <w:szCs w:val="21"/>
                <w:lang w:eastAsia="zh-CN"/>
              </w:rPr>
              <w:t>一票否决指标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46" w:hRule="atLeast"/>
          <w:jc w:val="center"/>
        </w:trPr>
        <w:tc>
          <w:tcPr>
            <w:tcW w:w="179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0" w:lineRule="exact"/>
              <w:ind w:left="0" w:leftChars="0" w:right="0" w:rightChars="0"/>
              <w:jc w:val="center"/>
              <w:textAlignment w:val="auto"/>
              <w:outlineLvl w:val="9"/>
              <w:rPr>
                <w:rFonts w:hint="eastAsia" w:hAnsi="宋体" w:cs="宋体" w:eastAsiaTheme="minorEastAsia"/>
                <w:color w:val="000000"/>
                <w:kern w:val="0"/>
                <w:sz w:val="21"/>
                <w:szCs w:val="21"/>
                <w:lang w:eastAsia="zh-CN"/>
              </w:rPr>
            </w:pPr>
            <w:r>
              <w:rPr>
                <w:rFonts w:hint="eastAsia" w:ascii="宋体" w:hAnsi="宋体" w:eastAsia="宋体" w:cs="宋体"/>
                <w:sz w:val="21"/>
                <w:szCs w:val="21"/>
              </w:rPr>
              <w:t>申请材料造假</w:t>
            </w:r>
          </w:p>
        </w:tc>
        <w:tc>
          <w:tcPr>
            <w:tcW w:w="11595" w:type="dxa"/>
            <w:gridSpan w:val="9"/>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420" w:firstLineChars="200"/>
              <w:jc w:val="center"/>
              <w:textAlignment w:val="auto"/>
              <w:outlineLvl w:val="9"/>
              <w:rPr>
                <w:rFonts w:hint="eastAsia" w:hAnsi="宋体" w:cs="宋体" w:eastAsiaTheme="minorEastAsia"/>
                <w:color w:val="000000"/>
                <w:kern w:val="0"/>
                <w:sz w:val="21"/>
                <w:szCs w:val="21"/>
                <w:lang w:eastAsia="zh-CN"/>
              </w:rPr>
            </w:pPr>
            <w:r>
              <w:rPr>
                <w:rFonts w:hint="eastAsia" w:ascii="宋体" w:hAnsi="宋体" w:eastAsia="宋体" w:cs="宋体"/>
                <w:sz w:val="21"/>
                <w:szCs w:val="21"/>
              </w:rPr>
              <w:t>新市民伪造或提供虚假申请资料，或作虚假承诺的，一经发现，取消当年积分申请资格；取得入户资格的，取消其相应资格，所得积分清零，且两年内不得申请积分。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69" w:hRule="atLeast"/>
          <w:jc w:val="center"/>
        </w:trPr>
        <w:tc>
          <w:tcPr>
            <w:tcW w:w="1793" w:type="dxa"/>
            <w:gridSpan w:val="2"/>
            <w:vAlign w:val="center"/>
          </w:tcPr>
          <w:p>
            <w:pPr>
              <w:keepNext w:val="0"/>
              <w:keepLines w:val="0"/>
              <w:pageBreakBefore w:val="0"/>
              <w:widowControl w:val="0"/>
              <w:kinsoku/>
              <w:wordWrap/>
              <w:overflowPunct/>
              <w:topLinePunct w:val="0"/>
              <w:autoSpaceDE/>
              <w:autoSpaceDN/>
              <w:bidi w:val="0"/>
              <w:adjustRightInd/>
              <w:snapToGrid/>
              <w:spacing w:line="310" w:lineRule="exact"/>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刑事犯罪</w:t>
            </w:r>
          </w:p>
        </w:tc>
        <w:tc>
          <w:tcPr>
            <w:tcW w:w="11595" w:type="dxa"/>
            <w:gridSpan w:val="9"/>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420" w:firstLineChars="20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有严重刑事犯罪记录、故意犯罪记录和过失犯罪情节严重记录的,不能申请积分制服务。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69" w:hRule="atLeast"/>
          <w:jc w:val="center"/>
        </w:trPr>
        <w:tc>
          <w:tcPr>
            <w:tcW w:w="13388" w:type="dxa"/>
            <w:gridSpan w:val="11"/>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黑体" w:hAnsi="黑体" w:eastAsia="黑体" w:cs="黑体"/>
                <w:sz w:val="21"/>
                <w:szCs w:val="21"/>
                <w:lang w:eastAsia="zh-CN"/>
              </w:rPr>
              <w:t>四、自定义指标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69" w:hRule="atLeast"/>
          <w:jc w:val="center"/>
        </w:trPr>
        <w:tc>
          <w:tcPr>
            <w:tcW w:w="13388" w:type="dxa"/>
            <w:gridSpan w:val="11"/>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lang w:eastAsia="zh-CN"/>
              </w:rPr>
              <w:t>公办小学</w:t>
            </w:r>
            <w:r>
              <w:rPr>
                <w:rFonts w:hint="eastAsia" w:ascii="宋体" w:hAnsi="宋体" w:eastAsia="宋体" w:cs="宋体"/>
                <w:kern w:val="0"/>
                <w:sz w:val="21"/>
                <w:szCs w:val="21"/>
              </w:rPr>
              <w:t>由各镇（街道）结合实际情况设</w:t>
            </w:r>
            <w:r>
              <w:rPr>
                <w:rFonts w:hint="eastAsia" w:ascii="宋体" w:hAnsi="宋体" w:eastAsia="宋体" w:cs="宋体"/>
                <w:kern w:val="0"/>
                <w:sz w:val="21"/>
                <w:szCs w:val="21"/>
                <w:lang w:val="en-US" w:eastAsia="zh-CN"/>
              </w:rPr>
              <w:t>定加分项目及加分标准</w:t>
            </w:r>
            <w:r>
              <w:rPr>
                <w:rFonts w:hint="eastAsia" w:ascii="宋体" w:hAnsi="宋体" w:eastAsia="宋体" w:cs="宋体"/>
                <w:sz w:val="21"/>
                <w:szCs w:val="21"/>
              </w:rPr>
              <w:t>，总分数不超过</w:t>
            </w:r>
            <w:r>
              <w:rPr>
                <w:rFonts w:hint="eastAsia" w:ascii="宋体" w:hAnsi="宋体" w:eastAsia="宋体" w:cs="宋体"/>
                <w:sz w:val="21"/>
                <w:szCs w:val="21"/>
                <w:lang w:val="en-US" w:eastAsia="zh-CN"/>
              </w:rPr>
              <w:t>6</w:t>
            </w:r>
            <w:r>
              <w:rPr>
                <w:rFonts w:hint="eastAsia" w:ascii="宋体" w:hAnsi="宋体" w:eastAsia="宋体" w:cs="宋体"/>
                <w:sz w:val="21"/>
                <w:szCs w:val="21"/>
              </w:rPr>
              <w:t>0分</w:t>
            </w:r>
            <w:r>
              <w:rPr>
                <w:rFonts w:hint="eastAsia" w:ascii="宋体" w:hAnsi="宋体" w:eastAsia="宋体" w:cs="宋体"/>
                <w:sz w:val="21"/>
                <w:szCs w:val="21"/>
                <w:lang w:eastAsia="zh-CN"/>
              </w:rPr>
              <w:t>，由各镇街自行公告</w:t>
            </w:r>
            <w:r>
              <w:rPr>
                <w:rFonts w:hint="eastAsia" w:ascii="宋体" w:hAnsi="宋体" w:eastAsia="宋体" w:cs="宋体"/>
                <w:sz w:val="21"/>
                <w:szCs w:val="21"/>
              </w:rPr>
              <w:t>。</w:t>
            </w:r>
            <w:r>
              <w:rPr>
                <w:rFonts w:hint="eastAsia" w:ascii="宋体" w:hAnsi="宋体" w:eastAsia="宋体" w:cs="宋体"/>
                <w:sz w:val="21"/>
                <w:szCs w:val="21"/>
                <w:lang w:eastAsia="zh-CN"/>
              </w:rPr>
              <w:t>公办初中不使用自定指标。</w:t>
            </w:r>
          </w:p>
        </w:tc>
      </w:tr>
    </w:tbl>
    <w:p>
      <w:pPr>
        <w:rPr>
          <w:rFonts w:hint="eastAsia" w:ascii="仿宋_GB2312" w:eastAsia="仿宋_GB2312"/>
          <w:sz w:val="28"/>
          <w:szCs w:val="28"/>
          <w:lang w:val="en-US" w:eastAsia="zh-CN"/>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6685D"/>
    <w:multiLevelType w:val="singleLevel"/>
    <w:tmpl w:val="5EB6685D"/>
    <w:lvl w:ilvl="0" w:tentative="0">
      <w:start w:val="2"/>
      <w:numFmt w:val="chineseCounting"/>
      <w:suff w:val="nothing"/>
      <w:lvlText w:val="%1、"/>
      <w:lvlJc w:val="left"/>
    </w:lvl>
  </w:abstractNum>
  <w:abstractNum w:abstractNumId="1">
    <w:nsid w:val="5EB914FE"/>
    <w:multiLevelType w:val="singleLevel"/>
    <w:tmpl w:val="5EB914FE"/>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648CD"/>
    <w:rsid w:val="0243042E"/>
    <w:rsid w:val="041818CC"/>
    <w:rsid w:val="0779607D"/>
    <w:rsid w:val="0AC56407"/>
    <w:rsid w:val="196050C8"/>
    <w:rsid w:val="1E1F5F7B"/>
    <w:rsid w:val="1F8F2515"/>
    <w:rsid w:val="20B42093"/>
    <w:rsid w:val="235D7EC4"/>
    <w:rsid w:val="293210FC"/>
    <w:rsid w:val="2AE53D81"/>
    <w:rsid w:val="2E5E4FDC"/>
    <w:rsid w:val="354C370F"/>
    <w:rsid w:val="3FF276AF"/>
    <w:rsid w:val="465B089E"/>
    <w:rsid w:val="480F2772"/>
    <w:rsid w:val="4CBB29B1"/>
    <w:rsid w:val="4E6A3195"/>
    <w:rsid w:val="4EEB3AAF"/>
    <w:rsid w:val="55B25FDF"/>
    <w:rsid w:val="5BA521A2"/>
    <w:rsid w:val="5EBA743B"/>
    <w:rsid w:val="679903B4"/>
    <w:rsid w:val="6FAA7E82"/>
    <w:rsid w:val="715D1F64"/>
    <w:rsid w:val="7B7441A5"/>
    <w:rsid w:val="7C80348B"/>
    <w:rsid w:val="7F140A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LK</dc:creator>
  <cp:lastModifiedBy>袁晓明</cp:lastModifiedBy>
  <dcterms:modified xsi:type="dcterms:W3CDTF">2021-04-07T03:27:56Z</dcterms:modified>
  <dc:title>2020年三水区新市民随迁子女积分入学材料清单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